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Ц-1</w:t>
      </w:r>
      <w:r w:rsidR="002B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2B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B6F2E" w:rsidRPr="002B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нализ состояния и результатов деятельности методических объединений и/или профе</w:t>
      </w:r>
      <w:r w:rsidR="002B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ссиональных сообществ педагогов.</w:t>
      </w:r>
    </w:p>
    <w:p w:rsidR="002B6F2E" w:rsidRPr="00294ED5" w:rsidRDefault="002B6F2E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В системе общего образования в настоящий момент сложилась достаточно разветвленная сеть общественно-профессиональных сообществ педагогов: всероссийские и региональные предметные ассоциации (союзы), общественные движения, сетевые педагогические сообщества, клубы и другие. Вступая в них, педагоги ожидают также возможности профессионального роста и развития, общения с коллегами, обмена педагогическими инновациями, поддержки своих научно-методических разработок, организации профессиональной взаимопомощи и т.д.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Ценность организационного и экспертного потенциала профессионально-педагогических сообществ заключается в том, что: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с одной стороны, они выступают как проводники инициатив федерального уровня по модернизации системы образования, по внедрению инноваций;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>с другой стороны – поставщики «обратной связи», адекватной оценочной информации о том, как на самом деле обстоят дела на местах и внедряются инновации; информации объективной, а не отформатированной в рамках бюрократических процедур и регламентов.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Тенденция по активизации работы ассоциаций педагогов в том числе, в социальных сетях является объективным процессом, усиливающим свое влияние. Электронные коммуникации становятся средством объединения членов общественно-профессиональных сообществ, помогают решать профессиональные затруднения. А это означает в ближайшее время формирование настоящего профессионального сетевого сообщества, использующего информационные технологии.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Анализ деятельности профессиональных сообществ педагогов (по различным направлениям) дает понимание, что сетевые сообщества педагогов – это инструменты: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>взаимной оценки в конкурсах: это могут сделать лучшие педагоги, лучшие преподаватели, лучшие воспитатели, лучшие организаторы образовательной деятельности и специалисты проектного управления – «Лидеры российского образования»;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36D">
        <w:rPr>
          <w:rFonts w:ascii="Times New Roman" w:hAnsi="Times New Roman" w:cs="Times New Roman"/>
          <w:sz w:val="28"/>
          <w:szCs w:val="28"/>
        </w:rPr>
        <w:t>десубъективизации</w:t>
      </w:r>
      <w:proofErr w:type="spellEnd"/>
      <w:r w:rsidRPr="008B136D">
        <w:rPr>
          <w:rFonts w:ascii="Times New Roman" w:hAnsi="Times New Roman" w:cs="Times New Roman"/>
          <w:sz w:val="28"/>
          <w:szCs w:val="28"/>
        </w:rPr>
        <w:t xml:space="preserve"> оценки, когда оценивающий эксперт назначается </w:t>
      </w:r>
      <w:proofErr w:type="spellStart"/>
      <w:r w:rsidRPr="008B136D">
        <w:rPr>
          <w:rFonts w:ascii="Times New Roman" w:hAnsi="Times New Roman" w:cs="Times New Roman"/>
          <w:sz w:val="28"/>
          <w:szCs w:val="28"/>
        </w:rPr>
        <w:t>рандомным</w:t>
      </w:r>
      <w:proofErr w:type="spellEnd"/>
      <w:r w:rsidRPr="008B136D">
        <w:rPr>
          <w:rFonts w:ascii="Times New Roman" w:hAnsi="Times New Roman" w:cs="Times New Roman"/>
          <w:sz w:val="28"/>
          <w:szCs w:val="28"/>
        </w:rPr>
        <w:t xml:space="preserve"> (случайным) образом на оценку результатов проекта, деятельности педагога/преподавателя, разработанного учебника и учебно-методического комплекта (УМК) из общего пула экспертов из числа членов профессионального сообщества с примерно одинаковым квалификационным профилем (что гарантирует отсутствие субъективизма и пристрастия в оценках);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межрегионального сотрудничества, когда проводятся экспертные и оценочные мероприятия в режиме «онлайн», эксперты из одного региона участвуют в обсуждении проблем в сфере образования, в оценке качества образования, в оценке результатов проектной деятельности в других регионах;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образования; результатов внедрения инноваций, реализованных проектов и разработанных информационных систем;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proofErr w:type="spellStart"/>
      <w:r w:rsidRPr="008B136D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8B136D">
        <w:rPr>
          <w:rFonts w:ascii="Times New Roman" w:hAnsi="Times New Roman" w:cs="Times New Roman"/>
          <w:sz w:val="28"/>
          <w:szCs w:val="28"/>
        </w:rPr>
        <w:t xml:space="preserve"> для разработки и обсуждения творческих заданий для: аттестации, творческих экзаменов для педагогов, молодых специалистов в системе образования;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proofErr w:type="spellStart"/>
      <w:r w:rsidRPr="008B136D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8B136D">
        <w:rPr>
          <w:rFonts w:ascii="Times New Roman" w:hAnsi="Times New Roman" w:cs="Times New Roman"/>
          <w:sz w:val="28"/>
          <w:szCs w:val="28"/>
        </w:rPr>
        <w:t xml:space="preserve"> распространения и диссеминации передового педагогического опыта, в котором субъекты-операторы самостоятельно выбирают то, что нужно в данный момент и на перспективу из примеров работы своих коллег в других регионах;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диалога коллег, поддержания традиций наставничества и преемственности в профессиональном развитии молодых педагогов.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>С использованием сетевых технологий общественно-профессиональные сообщества (предметные ассоциации) могут включаться в работу по решению таких важных государственных задач, как: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>развитие национальной системы учительского роста;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деятельность органов власти по вопросам экспертизы учебников и учебно-методических материалов, разработке программ развития и нормативных актов, методических рекомендаций по совершенствованию содержания и технологий обучения;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>содержательное наполнение образовательной деятельности в соответствии с ФГОС (участие в разработке рекомендаций по реализации содержательной части конкретной предметной области, в оказании методической помощи педагогам, в распространении и внедрении передового педагогического опыта);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>разработка и реализация примерных основных образовательных программ;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разработка и внедрение предметных концепций, обсуждение отдельных положений проектов предметных концепций, детализация требований ФГОС;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работа с одаренными детьми и проведение предметных олимпиад и иных конкурсов;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внедрение дистанционных творческих экзаменов (в режимах онлайн и офлайн), посредством обеспечения равных возможностей для всех участников независимо от географических, транспортных и социально-экономических факторов;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анализ результатов международных исследований, ВПР, НИКО и других;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 xml:space="preserve">подготовка предложений и реализация иных отечественных разработок систем оценки качества и мониторинга образования в Российской Федерации; </w:t>
      </w:r>
    </w:p>
    <w:p w:rsidR="008B136D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>участие предметных ассоциаций в конкурсах «Учитель года», конкурс на присуждение премий лучшим учителям за достижения в профессиональной деятельности и других на региональном и федеральном уровнях;</w:t>
      </w:r>
    </w:p>
    <w:p w:rsidR="00A5702A" w:rsidRPr="008B136D" w:rsidRDefault="008B136D" w:rsidP="008B136D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D">
        <w:rPr>
          <w:rFonts w:ascii="Times New Roman" w:hAnsi="Times New Roman" w:cs="Times New Roman"/>
          <w:sz w:val="28"/>
          <w:szCs w:val="28"/>
        </w:rPr>
        <w:t>взаимодействие между предметными ассоциациями и органами власти, ответственными за реализацию образовательной политики.</w:t>
      </w:r>
      <w:bookmarkStart w:id="0" w:name="_GoBack"/>
      <w:bookmarkEnd w:id="0"/>
    </w:p>
    <w:sectPr w:rsidR="00A5702A" w:rsidRPr="008B136D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2B6F2E"/>
    <w:rsid w:val="0036103C"/>
    <w:rsid w:val="00486E69"/>
    <w:rsid w:val="00711E17"/>
    <w:rsid w:val="00875B92"/>
    <w:rsid w:val="008874A7"/>
    <w:rsid w:val="008B136D"/>
    <w:rsid w:val="00A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CC79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Алина А. Пшунова</cp:lastModifiedBy>
  <cp:revision>9</cp:revision>
  <dcterms:created xsi:type="dcterms:W3CDTF">2021-07-08T07:58:00Z</dcterms:created>
  <dcterms:modified xsi:type="dcterms:W3CDTF">2021-07-27T09:24:00Z</dcterms:modified>
</cp:coreProperties>
</file>