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4C3A" w:rsidRPr="00384C3A" w:rsidRDefault="00384C3A" w:rsidP="00384C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Ц-12. Анализ состояния и результатов деятельности методических объединений и/или профессиональных сообществ педагогов.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анализом результатов деятельности профессионально-педагогических сообществ и/или методических объединений, определяется комплексным подходом, включающим в себя как количественные, так и качественные критерии (показатели), а также определяется следующими ресурсами системы образования: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высококвалифицированным кадровым составом профессионально-педагогических сообществ и/или методических объединений;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разработанным и апробированным мониторингом изучения состояния и результатов деятельности методических объединений и/или профессиональных сообществ;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продуктивным опытом краевой системы образования на примере муниципальных образований с результативной деятельностью методических объединений и/или профессиональных сообществ.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Основные показатели эффективности деятельности общественно-профессиональных сообществ, сетевого взаимодействия ТМС: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 – участников общественно – профессиональных сообществ педагогов – предметников в регионе;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доля членства общественно – профессиональных сообществ в общественных советах органов государственной (муниципальной) власти;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степень участия общественно – профессиональных сообществ в разработке нормативно – правовых актов по вопросам управления образованием региона (муниципалитета) с учетом их коллегиального мнения;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доля участия общественно – профессиональных сообществ в мониторинговых исследованиях, социологических опросах по вопросам развития образования;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динамика участия общественно – профессиональных сообществ в федеральных, региональных грантах, конкурсах, как количественная, так и качественная (наличие победителей, призеров и лауреатов);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степень участия общественно – профессиональных сообществ в разработке и организации конкурсов профессионального мастерства для педагогов, как в качестве наставников, </w:t>
      </w:r>
      <w:proofErr w:type="spellStart"/>
      <w:r w:rsidRPr="00384C3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84C3A">
        <w:rPr>
          <w:rFonts w:ascii="Times New Roman" w:hAnsi="Times New Roman" w:cs="Times New Roman"/>
          <w:sz w:val="28"/>
          <w:szCs w:val="28"/>
        </w:rPr>
        <w:t xml:space="preserve">, так и членов жюри;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lastRenderedPageBreak/>
        <w:t>доля образовательных организаций, педагогических работников региона (муниципалитета), получивших методическую и консультационную помощь в общественно – профессиональном сообществе, с учетом качественной динамики по отзывам педагогов;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количество (доля) экспертных заключений, подготовленных общественно – профессиональным сообществом в рамках компетенций (в рамках полномочий), повлиявших на результативность деятельности как отдельных педагогов, так и образовательных организаций;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количество и качество разработанных методических рекомендаций для педагогов – предметников (в рамках полномочий);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степень участия общественно – профессиональных сообществ в разработке и организации конкурсов для обучающихся;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наличие сетевых информационных ресурсов методической поддержки педагогов – предметников;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доля положительных отзывов о работе информационного ресурса;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количество подготовленных экспертов – консультантов из числа членов общественно – профессионального сообщества, признанных педагогическим сообществом;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доля привлеченных внешними экспертами из числа членов общественно – профессионального сообщества к процедурам оценки качества образования общеобразовательной организации;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о работе общественно – профессионального сообщества: органов государственной власти, общеобразовательных организаций, профессиональных сообществ, родительских общественных организаций, в том числе публикаций, передач в СМИ о деятельности общественно – профессионального сообщества;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увеличение количества муниципальных мероприятий, транслирующих опыт на региональном, федеральном уровне; 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увеличение количества проектов на присвоение статуса краевой инновационной площадки, лидера сетевого взаимодействия, краевого ресурсного центра общего образования; 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увеличение количества участников сетевых сообществ;</w:t>
      </w:r>
    </w:p>
    <w:p w:rsidR="00384C3A" w:rsidRPr="00384C3A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 xml:space="preserve">расширение тематики распространяемого опыта краевого ресурсного центра общего образования;  </w:t>
      </w:r>
    </w:p>
    <w:p w:rsidR="008F3F90" w:rsidRPr="002639E9" w:rsidRDefault="00384C3A" w:rsidP="00384C3A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3A">
        <w:rPr>
          <w:rFonts w:ascii="Times New Roman" w:hAnsi="Times New Roman" w:cs="Times New Roman"/>
          <w:sz w:val="28"/>
          <w:szCs w:val="28"/>
        </w:rPr>
        <w:t>увеличение доли образовательных организаций, участвующих в деятельности ресурсных центров общего образования.</w:t>
      </w:r>
      <w:bookmarkStart w:id="0" w:name="_GoBack"/>
      <w:bookmarkEnd w:id="0"/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384C3A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C347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5</cp:revision>
  <cp:lastPrinted>2021-07-27T08:29:00Z</cp:lastPrinted>
  <dcterms:created xsi:type="dcterms:W3CDTF">2021-07-08T08:05:00Z</dcterms:created>
  <dcterms:modified xsi:type="dcterms:W3CDTF">2021-07-27T09:25:00Z</dcterms:modified>
</cp:coreProperties>
</file>