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32"/>
          <w:szCs w:val="32"/>
          <w:u w:val="none"/>
          <w:shd w:val="clear" w:color="auto" w:fill="auto"/>
          <w:vertAlign w:val="baseline"/>
          <w:rtl w:val="false"/>
        </w:rPr>
        <w:t xml:space="preserve">Кейс «Объект из будущего»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Описание:</w:t>
      </w:r>
      <w:r/>
    </w:p>
    <w:p>
      <w:pPr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Как будут выглядеть предметы в будущем? Что влияет на их функциональность и внешний вид? Человек всегда хотел летать. Над 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летательными аппаратами с вертикальным взлетом работали Леонардо ла Винчи в 15-м веке и Михаил Ломоносов в 18-м веке, однако первые вертолеты появились лишь в 20-м веке. Это стало возможным благодаря изобретению новых легких и прочных материалов и технолог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ий их изготовления. Другой пример: появление самокатов, как альтернативного средства транспорта. Самокаты существуют уже давно, но они использовались, как детская игрушка. Общество не было готово пользоваться самокатом, как средством передвижения. В города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х со сложной транспортной обстановкой, с большим количеством пробок стало необходимо перемещаться быстрее чем пешком, на транспорте минимального размера, который можно взять в метро и автобус. И тут вспомнили про самокат. Эти два примера показывают, что по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Так какие же новые изобретения появятся с возникновением новых технологий и социальных явлений?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Категория кейса: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вводный;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рассчитан на возраст учащихся от 10 лет.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Место в структуре программы: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Рекомендуется к выполнению первым в программе.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Количество учебных часов/занятий, на которые рассчитан кейс: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12 часов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Учебно-тематическое планирование (занятие – 2часа):</w:t>
      </w:r>
      <w:r/>
    </w:p>
    <w:tbl>
      <w:tblPr>
        <w:tblStyle w:val="178"/>
        <w:tblW w:w="9019" w:type="dxa"/>
        <w:tblInd w:w="0" w:type="dxa"/>
        <w:tblBorders>
          <w:left w:val="single" w:color="BFBFBF" w:sz="4" w:space="0"/>
          <w:top w:val="single" w:color="BFBFBF" w:sz="4" w:space="0"/>
          <w:right w:val="single" w:color="BFBFBF" w:sz="4" w:space="0"/>
          <w:bottom w:val="single" w:color="BFBFBF" w:sz="4" w:space="0"/>
          <w:insideV w:val="single" w:color="BFBFBF" w:sz="4" w:space="0"/>
          <w:insideH w:val="single" w:color="BFBFBF" w:sz="4" w:space="0"/>
        </w:tblBorders>
        <w:tblLayout w:type="fixed"/>
        <w:tblLook w:val="0400" w:firstRow="0" w:lastRow="0" w:firstColumn="0" w:lastColumn="0" w:noHBand="0" w:noVBand="1"/>
      </w:tblPr>
      <w:tblGrid>
        <w:gridCol w:w="5668"/>
        <w:gridCol w:w="3351"/>
        <w:tblGridChange w:id="0">
          <w:tblGrid>
            <w:gridCol w:w="5668"/>
            <w:gridCol w:w="3351"/>
          </w:tblGrid>
        </w:tblGridChange>
      </w:tblGrid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FFFFFF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Занятие 1</w:t>
            </w: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rtl w:val="false"/>
              </w:rPr>
              <w:t xml:space="preserve">Освоить методику формирования идей нового продукта.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Преподаватель разбивает дет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ей по группам, состоящим из двух человек. Каждая группа выбирает два условия из будущего - в социальной сфере и в сфере развития технологий. Опираясь на эти условия надо создать карту ассоциаций (mind map). Причем, в каждом последующем внешнем круге ассоци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ации к словам из предыдущего круга. Таким образом появляется многоуровневый набор ассоциаций. На основе одной или нескольких ассоциаций из этой карты формируется идея нового продукта, помогающего существовать человеку в заданных в начале проекта условиях.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Дизайн-проектирование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Методы генерирования идей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2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Освоить методику проверки  идей нового продукта.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Идея проверяется с помощью четырех сценариев развития в будущ</w:t>
            </w: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ем (future forecast). Далее идея пропускается через "линзу" возможности реализации, "линзу" технологий и экономики, "линзу" экологии и социально-политическую "линзу". В итоге, идея корректируется. В конце каждая группа выступает с презентацией своей идеи.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Дизайн-аналитика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Методы проверки  идей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Аналитическое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Умение отстаивать свою точку зрения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3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>
              <w:rPr>
                <w:sz w:val="14"/>
                <w:szCs w:val="14"/>
                <w:rtl w:val="false"/>
              </w:rPr>
              <w:t xml:space="preserve">Зафиксировать идеи  в технике дизайн-скетчинга</w:t>
            </w: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Научить учащихся строить объекты в перспективе.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Учащиеся изучают перспективу, окружность в перспективе, штриховку, светотень, падающую тень.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Учащиеся строят придуманный объект из будущего в перспективе.</w:t>
            </w: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(Д/з на следующее занятие принести ненужные предметы, из которых можно сделать макет предмета).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Перспектива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окружности в перспективе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построение объектов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Исследовательские навыки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внимание и концентрация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4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Развить навыки макетирования 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Создание объекта, придуманного на прошлых занятиях, выполненного по существующим технологиям, собранного из ненужных предметов настоящего. 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Объемно-пространственное мышление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tl w:val="false"/>
              </w:rPr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5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Создание презентационного макета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Дорабатываем макет. Объект можно упаковать и сделать ценник, как для продажи в магазине.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Макетирование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Креативное мышление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Командная работа</w:t>
            </w:r>
            <w:r/>
          </w:p>
        </w:tc>
      </w:tr>
      <w:tr>
        <w:trPr/>
        <w:tc>
          <w:tcPr>
            <w:gridSpan w:val="2"/>
            <w:shd w:val="clear" w:color="auto" w:fill="D9D9D9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Занятие 6</w:t>
            </w:r>
            <w:r/>
          </w:p>
        </w:tc>
      </w:tr>
      <w:tr>
        <w:trPr/>
        <w:tc>
          <w:tcPr>
            <w:gridSpan w:val="2"/>
            <w:textDirection w:val="lrTb"/>
            <w:noWrap w:val="false"/>
          </w:tcPr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b/>
                <w:sz w:val="14"/>
                <w:szCs w:val="14"/>
                <w:rtl w:val="false"/>
              </w:rPr>
              <w:t xml:space="preserve">Цель: </w:t>
            </w:r>
            <w:r/>
          </w:p>
          <w:p>
            <w:pPr>
              <w:rPr>
                <w:b/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Научиться: передавать объем с помощью светотени,</w:t>
            </w:r>
            <w:r>
              <w:rPr>
                <w:rtl w:val="false"/>
              </w:rPr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презентовать разработанный продукт.</w:t>
            </w:r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Что делаем: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Учащиеся изучают светотень и падающую тень на примере гипсовых фигур.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Учащиеся строит быстрый эскиз гипсовой фигуры в перспективе, и с помощью штриховки карандашом передает объем.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Далее наставник демонстрирует технику рисунка маркерами. Учащиеся строят придуманный  объект в перспективе и передают светотень и цвет маркерами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Презентация проектов по группам.</w:t>
            </w:r>
            <w:r/>
          </w:p>
        </w:tc>
        <w:tc>
          <w:tcPr>
            <w:textDirection w:val="lrTb"/>
            <w:noWrap w:val="false"/>
          </w:tcPr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Компетенции: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Hard Skills: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Передача различных фактур материалов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техника скетчинга маркерами</w:t>
            </w:r>
            <w:r/>
          </w:p>
          <w:p>
            <w:pPr>
              <w:rPr>
                <w:sz w:val="14"/>
                <w:szCs w:val="1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sz w:val="14"/>
                <w:szCs w:val="14"/>
                <w:rtl w:val="false"/>
              </w:rPr>
              <w:t xml:space="preserve">Soft Skills: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презентации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публичного выступления</w:t>
            </w:r>
            <w:r/>
          </w:p>
          <w:p>
            <w:pPr>
              <w:ind w:left="0" w:right="0" w:firstLine="0"/>
              <w:jc w:val="left"/>
              <w:keepLines w:val="false"/>
              <w:keepNext w:val="false"/>
              <w:spacing w:lineRule="auto" w:line="276" w:after="0" w:before="0"/>
              <w:shd w:val="clear" w:color="auto" w:fill="auto"/>
              <w:widowControl/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Arial" w:hAnsi="Arial" w:cs="Arial" w:eastAsia="Arial"/>
                <w:b w:val="false"/>
                <w:i w:val="false"/>
                <w:smallCaps w:val="false"/>
                <w:strike w:val="false"/>
                <w:color w:val="000000"/>
                <w:sz w:val="14"/>
                <w:szCs w:val="14"/>
                <w:u w:val="none"/>
                <w:shd w:val="clear" w:color="auto" w:fill="auto"/>
                <w:vertAlign w:val="baseline"/>
                <w:rtl w:val="false"/>
              </w:rPr>
              <w:t xml:space="preserve">Навык представления и защиты проекта</w:t>
            </w:r>
            <w:r/>
          </w:p>
        </w:tc>
      </w:tr>
    </w:tbl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работы с кейсом.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Ассоциативный метод генерирования идей, аналитический метод.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Минимально необходимый уровень входных компетенций: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стандартная школьная подготовка, соответствующая возрасту ребенка, без углубленных знаний.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работа над кейсом не требует специальной художественной подготовки; 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Предполагаемые образовательные результаты учащихся, формируемые навыки: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Универсальные Soft Skills: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Командная работа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Умение отстаивать свою точку зрения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публичного выступления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Навык представления и защиты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Креативное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Аналитическое мышление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дизайн-анализа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Профессиональные Hard Skills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Дизайн-аналитика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Дизайн-проектирование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Методы генерирования идей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Макетирование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Передача различных фактур материалов</w:t>
      </w:r>
      <w:r/>
    </w:p>
    <w:p>
      <w:pPr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Техника скетчинга маркерами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Объемно-пространственное мышление</w:t>
      </w:r>
      <w:r/>
    </w:p>
    <w:p>
      <w:pPr>
        <w:ind w:left="36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Процедуры и формы выявления образовательного результата.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 проекта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Выставка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Руководство для наставника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Введение в проблему.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показывает учащимся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презентацию, демонстрирующую как появление новых технологии может изменить предметную среду. Предлагает пофантазировать о том, какие изменения в области технологий и в социальной сфере могли бы произойти в будущем, и как это может изменить окружающий мир.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Изучение проблемы. 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Генерация идей.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Команды учащихся выбирают 2 случайные карточки с новостями из будущего (новость из области технологий и новость из социальной сферы).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Опираясь на эти условия, заполняют карту ассоциаций. В центре карты записываются два условия из полученных карточек. Далее в кажд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ом последующем внешнем круге записываются ассоциации к словам из предыдущего круга. Таким образом, появляется многоуровневый набор ассоциаций. Слова-ассоциации предлагаются абсолютно свободно, участники команды на данном этапе не критикуют идеи друг друга.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 основе одной </w:t>
      </w: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или нескольких ассоциаций из этой карты команда генерируют идеи нового продукта, помогающего существовать человеку в заданных на карточках условиях. Участники команды должны прийти к соглашению и из предложенных идей выбрать одну для дальнейшей разработки.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Идеи при заполнении карты ассоциаций выдвигаются совершенно свободно, без привязки к современным условиям.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Не обязательно доводить до конца все ассоциативные ряды; выбрать самый интересный вариант.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Разработанное изделие не обязательно должно решать проблему, сформулированную на одной из полученных карточек (новости из области технологий и социальной сферы)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. Карточки с новостями из будущего и карта ассоциаций используются исключительно как метод генерирования проектных идей. Новый продукт, полученный, в результате применения метода, может быть ориентирован на решение любых потребностей, актуальных в будущем.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Идея пров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еряется с помощью четырех сценариев развития в будущем (future forecast). Для каждого из четырех сценариев (оптимистичные – рост, трансформация; пессимистичные – остановка развития, падение интереса) оцениваются условия жизнеспособности объекта разработки.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Идея пропускается через фи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льтры «Экономика-технология», «Экология», «Общество-политика», а также через «линзу» возможности реализации (невозможно – маловероятно – вероятно – очень вероятно – возможно). Происходит оценка жизнеспособности и эффективности продукта в заданных условиях.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После рассмотрения сценариев развития (future forecast) и фильтров возможностей, проектная идея может быть изменена или доработана.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Формирование проектных групп и распределение ролей: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Задание рассчитано на коллективное исполнение (проектные группы по 2-3 человека). Наставнику рекомендуется следить, что бы все участники команды были вовлечены в процесс работы над проектом.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Разработка и создание.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Визуализация идей. Создание макета.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Учащиеся получают домашнее задание: п</w:t>
      </w:r>
      <w:r>
        <w:rPr>
          <w:rFonts w:ascii="Calibri" w:hAnsi="Calibri" w:cs="Calibri" w:eastAsia="Calibri"/>
          <w:sz w:val="24"/>
          <w:szCs w:val="24"/>
          <w:rtl w:val="false"/>
        </w:rPr>
        <w:t xml:space="preserve">одумать, из каких материалов можно сделать макет разработанного продукта и принести эти материалы на следующее занятие. Могут подойти любые предметы (вышедшие из строя бытовые приборы, изделия из пластика, пластиковая посуда, старые детские игрушки и т.д.)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Команды создают макет нового продукта из подручных средств и материалов. 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Макет должен отображать проектный замысел (конструктивно или ассоциативно), выполняться быстро. Допустима степень условности при выполнении макета; не нужно стремиться к реалистичности.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Презентация.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Макет можно упаковать и сделать ценник, как для продажи в магазине.</w:t>
      </w:r>
      <w:r/>
    </w:p>
    <w:p>
      <w:pPr>
        <w:spacing w:lineRule="auto" w:line="240"/>
        <w:rPr>
          <w:rFonts w:ascii="Calibri" w:hAnsi="Calibri" w:cs="Calibri" w:eastAsia="Calibri"/>
          <w:sz w:val="24"/>
          <w:szCs w:val="2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sz w:val="24"/>
          <w:szCs w:val="24"/>
          <w:rtl w:val="false"/>
        </w:rPr>
        <w:t xml:space="preserve">Для презентации проекта, учащиеся могут сделать зарисовки на маркерной доске, отобразить графически схему функционирования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Защита проекта.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Наставник и участники других команд задают вопросы по проекту, могут предлагать свои идеи по усовершенствованию нового продукта.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Необходимые материалы и оборудование.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Материалы: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Набор карточек с новостями из будущего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Карта ассоциаций (mind map)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Карта сценариев развития (future forecast)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Карта фильтров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(формат А4 или А3)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Ручка, карандаш, ластик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Бумага для макетирования (ватман, формат А2 или А1)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Картон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Гофрокартон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Ножницы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Нож макетный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Макетный коврик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Линейка металлическая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Клей ПВА, клей-карандаш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Оборудование: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Флипчарт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Интерактивная доска для проведения презентации</w:t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Список используемых источников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Жанна Лидтка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Тим Огилви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«Думай как дизайнер. Дизайн-мышление для менеджеров» / Манн, Иванов и Фербер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0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Koos Eissen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, </w:t>
      </w:r>
      <w:hyperlink r:id="rId11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Roselien Steur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«Sketching: Drawing Techniques for Product Designers» / Hardcover 2009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2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Kevin Henry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«Drawing for Product Designers (Portfolio Skills: Product Design)»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3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Bjarki Hallgrimsson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«Prototyping and Modelmaking for Product Design (Portfolio Skills)» / Paperback 2012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Kurt Hanks, </w:t>
      </w:r>
      <w:hyperlink r:id="rId14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Larry Belliston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«Rapid Viz: A New Method for the Rapid Visualization of Ideas»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Rob Thompson «Prototyping and Low-Volume Production (The Manufacturing Guides)»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5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Jennifer Hudson</w:t>
        </w:r>
      </w:hyperlink>
      <w:r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  <w:rtl w:val="false"/>
        </w:rPr>
        <w:t xml:space="preserve"> «Process 2nd Edition: 50 Product Designs from Concept to Manufacture»</w:t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6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http://designet.ru/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7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https://www.behance.net/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8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http://www.notcot.org/</w:t>
        </w:r>
      </w:hyperlink>
      <w:r>
        <w:rPr>
          <w:rtl w:val="false"/>
        </w:rPr>
      </w:r>
      <w:r/>
    </w:p>
    <w:p>
      <w:pPr>
        <w:numPr>
          <w:ilvl w:val="0"/>
          <w:numId w:val="1"/>
        </w:numPr>
        <w:ind w:left="426" w:right="0" w:hanging="426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/>
      <w:hyperlink r:id="rId19" w:history="1">
        <w:r>
          <w:rPr>
            <w:rFonts w:ascii="Calibri" w:hAnsi="Calibri" w:cs="Calibri" w:eastAsia="Calibri"/>
            <w:b w:val="false"/>
            <w:i w:val="false"/>
            <w:smallCaps w:val="false"/>
            <w:strike w:val="false"/>
            <w:color w:val="000000"/>
            <w:sz w:val="24"/>
            <w:szCs w:val="24"/>
            <w:u w:val="none"/>
            <w:shd w:val="clear" w:color="auto" w:fill="auto"/>
            <w:vertAlign w:val="baseline"/>
            <w:rtl w:val="false"/>
          </w:rPr>
          <w:t xml:space="preserve">http://mocoloco.com/</w:t>
        </w:r>
      </w:hyperlink>
      <w:r>
        <w:rPr>
          <w:rtl w:val="fals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76" w:after="0" w:before="0"/>
        <w:shd w:val="clear" w:color="auto" w:fill="auto"/>
        <w:widowControl/>
        <w:rPr>
          <w:rFonts w:ascii="Calibri" w:hAnsi="Calibri" w:cs="Calibri" w:eastAsia="Calibri"/>
          <w:b w:val="false"/>
          <w:i w:val="false"/>
          <w:smallCaps w:val="false"/>
          <w:strike w:val="false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sectPr>
      <w:footnotePr/>
      <w:type w:val="nextPage"/>
      <w:pgSz w:w="11909" w:h="16834" w:orient="portrait"/>
      <w:pgMar w:top="1440" w:right="1440" w:bottom="1440" w:left="1440" w:header="0" w:footer="720" w:gutter="0"/>
      <w:pgNumType w:start="1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76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7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71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72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7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74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75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8"/>
    <w:next w:val="16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8"/>
    <w:next w:val="16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8"/>
    <w:next w:val="16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8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9"/>
    <w:link w:val="176"/>
    <w:uiPriority w:val="10"/>
    <w:rPr>
      <w:sz w:val="48"/>
      <w:szCs w:val="48"/>
    </w:rPr>
  </w:style>
  <w:style w:type="character" w:styleId="35">
    <w:name w:val="Subtitle Char"/>
    <w:basedOn w:val="9"/>
    <w:link w:val="177"/>
    <w:uiPriority w:val="11"/>
    <w:rPr>
      <w:sz w:val="24"/>
      <w:szCs w:val="24"/>
    </w:rPr>
  </w:style>
  <w:style w:type="paragraph" w:styleId="36">
    <w:name w:val="Quote"/>
    <w:basedOn w:val="168"/>
    <w:next w:val="16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8"/>
    <w:next w:val="16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16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8"/>
    <w:next w:val="16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8"/>
    <w:next w:val="16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8"/>
    <w:next w:val="16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8"/>
    <w:next w:val="16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8"/>
    <w:next w:val="16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8"/>
    <w:next w:val="16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8"/>
    <w:next w:val="16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8"/>
    <w:next w:val="16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8"/>
    <w:next w:val="16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8" w:default="1">
    <w:name w:val="Normal"/>
  </w:style>
  <w:style w:type="table" w:styleId="169" w:default="1">
    <w:name w:val="Table Normal"/>
    <w:tblPr/>
  </w:style>
  <w:style w:type="paragraph" w:styleId="170">
    <w:name w:val="Heading 1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40"/>
      <w:szCs w:val="4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40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1">
    <w:name w:val="Heading 2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32"/>
      <w:szCs w:val="3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120" w:before="36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2">
    <w:name w:val="Heading 3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434343"/>
      <w:sz w:val="28"/>
      <w:szCs w:val="28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32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3">
    <w:name w:val="Heading 4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4"/>
      <w:szCs w:val="24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8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4">
    <w:name w:val="Heading 5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5">
    <w:name w:val="Heading 6"/>
    <w:basedOn w:val="168"/>
    <w:next w:val="168"/>
    <w:rPr>
      <w:rFonts w:ascii="Arial" w:hAnsi="Arial" w:cs="Arial" w:eastAsia="Arial"/>
      <w:b w:val="false"/>
      <w:i/>
      <w:smallCaps w:val="false"/>
      <w:strike w:val="false"/>
      <w:color w:val="666666"/>
      <w:sz w:val="22"/>
      <w:szCs w:val="2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80" w:before="24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6">
    <w:name w:val="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000000"/>
      <w:sz w:val="52"/>
      <w:szCs w:val="52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6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177">
    <w:name w:val="Subtitle"/>
    <w:basedOn w:val="168"/>
    <w:next w:val="168"/>
    <w:rPr>
      <w:rFonts w:ascii="Arial" w:hAnsi="Arial" w:cs="Arial" w:eastAsia="Arial"/>
      <w:b w:val="false"/>
      <w:i w:val="false"/>
      <w:smallCaps w:val="false"/>
      <w:strike w:val="false"/>
      <w:color w:val="666666"/>
      <w:sz w:val="30"/>
      <w:szCs w:val="30"/>
      <w:u w:val="none"/>
      <w:shd w:val="clear" w:color="auto" w:fill="auto"/>
      <w:vertAlign w:val="baseline"/>
    </w:rPr>
    <w:pPr>
      <w:ind w:left="0" w:right="0" w:firstLine="0"/>
      <w:jc w:val="left"/>
      <w:keepLines/>
      <w:keepNext/>
      <w:spacing w:lineRule="auto" w:line="276" w:after="320" w:before="0"/>
      <w:shd w:val="clear" w:color="auto" w:fill="auto"/>
      <w:widowControl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table" w:styleId="178">
    <w:name w:val="StGen0"/>
    <w:basedOn w:val="169"/>
    <w:rPr>
      <w:rFonts w:ascii="Calibri" w:hAnsi="Calibri" w:cs="Calibri" w:eastAsia="Calibri"/>
      <w:color w:val="000000"/>
    </w:rPr>
    <w:pPr>
      <w:spacing w:lineRule="auto" w:line="24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1207" w:default="1">
    <w:name w:val="Default Paragraph Font"/>
    <w:uiPriority w:val="1"/>
    <w:semiHidden/>
    <w:unhideWhenUsed/>
  </w:style>
  <w:style w:type="numbering" w:styleId="12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://www.ozon.ru/person/30061607/" TargetMode="External"/><Relationship Id="rId9" Type="http://schemas.openxmlformats.org/officeDocument/2006/relationships/hyperlink" Target="http://www.ozon.ru/person/30061608/" TargetMode="External"/><Relationship Id="rId10" Type="http://schemas.openxmlformats.org/officeDocument/2006/relationships/hyperlink" Target="http://www.amazon.com/s/ref=rdr_ext_aut?_encoding=UTF8&amp;index=books&amp;field-author=Koos%20Eissen" TargetMode="External"/><Relationship Id="rId11" Type="http://schemas.openxmlformats.org/officeDocument/2006/relationships/hyperlink" Target="http://www.amazon.com/s/ref=rdr_ext_aut?_encoding=UTF8&amp;index=books&amp;field-author=Roselien%20Steur" TargetMode="External"/><Relationship Id="rId12" Type="http://schemas.openxmlformats.org/officeDocument/2006/relationships/hyperlink" Target="http://www.amazon.com/s/ref=rdr_ext_aut?_encoding=UTF8&amp;index=books&amp;field-author=Kevin%20Henry" TargetMode="External"/><Relationship Id="rId13" Type="http://schemas.openxmlformats.org/officeDocument/2006/relationships/hyperlink" Target="http://www.amazon.com/s/ref=rdr_ext_aut?_encoding=UTF8&amp;index=books&amp;field-author=Bjarki%20Hallgrimsson" TargetMode="External"/><Relationship Id="rId1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6" Type="http://schemas.openxmlformats.org/officeDocument/2006/relationships/hyperlink" Target="http://designet.ru/" TargetMode="External"/><Relationship Id="rId17" Type="http://schemas.openxmlformats.org/officeDocument/2006/relationships/hyperlink" Target="https://www.behance.net/" TargetMode="External"/><Relationship Id="rId18" Type="http://schemas.openxmlformats.org/officeDocument/2006/relationships/hyperlink" Target="http://www.notcot.org/" TargetMode="External"/><Relationship Id="rId19" Type="http://schemas.openxmlformats.org/officeDocument/2006/relationships/hyperlink" Target="http://mocoloco.com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onlyoffice/5.3.1.26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