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  <w:rtl w:val="false"/>
        </w:rPr>
        <w:t xml:space="preserve">Кейс «Как это устроено»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Описание: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Ежедневно, мы используем множество вещей, об устройстве которых даже не задумываемся. Взять, для 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примера, казалось бы, простой объект – карандаш. При подробном рассмотрении, окажется, что это комплексное устройство, состоящее из: грифеля, деревянной оправы, клея, лака покрывающего оправу, краски для маркировки. Поэтому, чтобы спроектировать любой объе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кт нужно полностью продумать его внутреннее устройство, учесть материалы из которых он создан, технологию, способы крепления его частей и их взаимодействие. Только комплексный подход к проектированию объекта даст результат, отвечающий поставленной задаче.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Категория кейса: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вводный;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рассчитан на возраст учащихся от 10 лет.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Место в структуре программы: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Рекомендуется к выполнению перед кейсом «Механическое устройство».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Количество учебных часов/занятий, на которые рассчитан кейс: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12 часов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Учебно-тематическое планирование (занятие – 2часа):</w:t>
      </w:r>
      <w:r/>
    </w:p>
    <w:tbl>
      <w:tblPr>
        <w:tblStyle w:val="178"/>
        <w:tblW w:w="9019" w:type="dxa"/>
        <w:tblInd w:w="0" w:type="dxa"/>
        <w:tblBorders>
          <w:left w:val="single" w:color="BFBFBF" w:sz="4" w:space="0"/>
          <w:top w:val="single" w:color="BFBFBF" w:sz="4" w:space="0"/>
          <w:right w:val="single" w:color="BFBFBF" w:sz="4" w:space="0"/>
          <w:bottom w:val="single" w:color="BFBFBF" w:sz="4" w:space="0"/>
          <w:insideV w:val="single" w:color="BFBFBF" w:sz="4" w:space="0"/>
          <w:insideH w:val="single" w:color="BFBFBF" w:sz="4" w:space="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FFFFFF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Занятие 1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false"/>
              </w:rPr>
              <w:t xml:space="preserve">Новое знание о взаимосвязях между материалами, технологией производства, функцией и внешним видом объекта.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Преподаватель демонстрирует объект и рассказывает о его строении. В формате дискуссии с учащимися выясняется назначение его составных частей, обоснование выбора материалов и технологии производства. Д/з: принести объект для изучения.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Умение отстаивать свою точку зрения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2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Понять устройство объекта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Команда осуществляет разборку объекта на составные части, раскладывает их для фотофиксации. Собирается информация о частях.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Работа со сборочным инструментом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Дата-скаутинг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>
              <w:rPr>
                <w:rtl w:val="false"/>
              </w:rPr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структурировать и фиксировать материал 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Фотофиксация всех объектов, планирование презентации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Фотография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4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Подготовить презентацию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Собираем все в презентацию на readymag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Создание презентации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5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Подготовить презентацию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Собираем все в презентацию на readymag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6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презентовать результаты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Презентация проектов по группам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презентации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публичного выступления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представления и защиты проекта</w:t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работы с кейсом.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Аналитический метод, метод наблюдения, декомпозиции и фиксации.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Минимально необходимый уровень входных компетенций: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стандартная школьная подготовка, соответствующая возрасту ребенка, без углубленных знаний.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работа над кейсом не требует специальной художественной подготовки; 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Предполагаемые образовательные результаты учащихся, формируемые навыки: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Универсальные Soft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публичного выступления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представления и защиты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Креативное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дизайн-анализа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Профессиональные Hard Skills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Объемно-пространственное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Создание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Фотография/обработка фото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Процедуры и формы выявления образовательного результата.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Выставка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Руководство для наставника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проблему.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авник на примере любого объекта рассказывает о его устройстве, технологии производства, используемых материалах. Ведется дискуссия с учащимися о причинах именно такого устройства объекта, чем оно обусловлено. Домашнее задание: принести объект для изучения.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Формирование проектных групп и распределение ролей: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Зада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ние рассчитано на коллективное исполнение (проектные группы по 2-3 человека). Наставнику рекомендуется следить, чтобы все участники команды были вовлечены в процесс работы над проектом. Роли в команде можно поменять относительно работы над прошлым кейсом.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Изучение проблемы.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Учащиеся производят максимально полную разборку выбранног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о объекта, далее, подготавливают для фотофиксации деталей. На данном этапе, производится сборка информации о составных частях, способах их производства и т.д. Задача – максимально вникнуть в процесс производства объекта и выяснить назначение каждой детали.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Производится фотофиксация деталей для презентации. Здесь важно продумать сценарий презентации и в соответствие с этим сделать нужные фотографии. Например, в презентации одна и та же деталь будет отображена в разных проекциях, это нужно учесть.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Разработка и создание.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Производится фотофиксация деталей для презентации. Здесь важно продумать сценарий презентации и в соответствие с этим сделать нужные фотографии. Например, в презентации одна и та же деталь будет отображена в разных проекциях, это нужно учесть.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Делается в онлайн-сервисе readymag.com, используются эффекты из инструментария сервиса, для более выразительной демонстрации устройства объекта. Фотографии дополняются выносками с пояснениями.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Защита проекта.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и участники других команд задают вопросы по проекту, могут предлагать свои идеи по усовершенствованию нового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Необходимые материалы и оборудование.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Материалы: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(формат А4 или А3)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Ручка, карандаш, ластик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Ножницы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 макетный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Макетный коврик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Линейка металлическая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Оборудование: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Флипчарт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Фотоаппарат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Ноутбуки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Интерактивная доска для проведения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Список используемых источников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Жанна Лидтка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Тим Огилви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«Думай как дизайнер. Дизайн-мышление для менеджеров» / Манн, Иванов и Фербер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0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Koos Eissen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11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Roselien Steur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«Sketching: Drawing Techniques for Product Designers» / Hardcover 2009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2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Kevin Henry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«Drawing for Product Designers (Portfolio Skills: Product Design)»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3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Bjarki Hallgrimsson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«Prototyping and Modelmaking for Product Design (Portfolio Skills)»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Kurt Hanks, </w:t>
      </w:r>
      <w:hyperlink r:id="rId14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Larry Belliston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«Rapid Viz: A New Method for the Rapid Visualization of Ideas»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Rob Thompson «Prototyping and Low-Volume Production (The Manufacturing Guides)»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Jennifer Hudson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«Process 2nd Edition: 50 Product Designs from Concept to Manufacture»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http://designet.ru/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https://www.behance.net/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http://www.notcot.org/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http://mocoloco.com/</w:t>
        </w:r>
      </w:hyperlink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7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7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7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73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74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75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8"/>
    <w:next w:val="1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8"/>
    <w:next w:val="1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8"/>
    <w:next w:val="1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8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176"/>
    <w:uiPriority w:val="10"/>
    <w:rPr>
      <w:sz w:val="48"/>
      <w:szCs w:val="48"/>
    </w:rPr>
  </w:style>
  <w:style w:type="character" w:styleId="35">
    <w:name w:val="Subtitle Char"/>
    <w:basedOn w:val="9"/>
    <w:link w:val="177"/>
    <w:uiPriority w:val="11"/>
    <w:rPr>
      <w:sz w:val="24"/>
      <w:szCs w:val="24"/>
    </w:rPr>
  </w:style>
  <w:style w:type="paragraph" w:styleId="36">
    <w:name w:val="Quote"/>
    <w:basedOn w:val="168"/>
    <w:next w:val="1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8"/>
    <w:next w:val="1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1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8"/>
    <w:next w:val="168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8"/>
    <w:next w:val="168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8"/>
    <w:next w:val="168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8"/>
    <w:next w:val="168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8"/>
    <w:next w:val="168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8"/>
    <w:next w:val="168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8"/>
    <w:next w:val="168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8"/>
    <w:next w:val="168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8"/>
    <w:next w:val="168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8" w:default="1">
    <w:name w:val="Normal"/>
  </w:style>
  <w:style w:type="table" w:styleId="169" w:default="1">
    <w:name w:val="Table Normal"/>
    <w:tblPr/>
  </w:style>
  <w:style w:type="paragraph" w:styleId="170">
    <w:name w:val="Heading 1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40"/>
      <w:szCs w:val="4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40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1">
    <w:name w:val="Heading 2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32"/>
      <w:szCs w:val="3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36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2">
    <w:name w:val="Heading 3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434343"/>
      <w:sz w:val="28"/>
      <w:szCs w:val="28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32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3">
    <w:name w:val="Heading 4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24"/>
      <w:szCs w:val="24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8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4">
    <w:name w:val="Heading 5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5">
    <w:name w:val="Heading 6"/>
    <w:basedOn w:val="168"/>
    <w:next w:val="168"/>
    <w:rPr>
      <w:rFonts w:ascii="Arial" w:hAnsi="Arial" w:cs="Arial" w:eastAsia="Arial"/>
      <w:b w:val="false"/>
      <w:i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6">
    <w:name w:val="Title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52"/>
      <w:szCs w:val="5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6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7">
    <w:name w:val="Subtitle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30"/>
      <w:szCs w:val="3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32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178">
    <w:name w:val="StGen0"/>
    <w:basedOn w:val="169"/>
    <w:rPr>
      <w:rFonts w:ascii="Calibri" w:hAnsi="Calibri" w:cs="Calibri" w:eastAsia="Calibri"/>
      <w:color w:val="000000"/>
    </w:rPr>
    <w:pPr>
      <w:spacing w:lineRule="auto" w:line="24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44" w:default="1">
    <w:name w:val="Default Paragraph Font"/>
    <w:uiPriority w:val="1"/>
    <w:semiHidden/>
    <w:unhideWhenUsed/>
  </w:style>
  <w:style w:type="numbering" w:styleId="10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0061607/" TargetMode="External"/><Relationship Id="rId9" Type="http://schemas.openxmlformats.org/officeDocument/2006/relationships/hyperlink" Target="http://www.ozon.ru/person/30061608/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6" Type="http://schemas.openxmlformats.org/officeDocument/2006/relationships/hyperlink" Target="http://designet.ru/" TargetMode="External"/><Relationship Id="rId17" Type="http://schemas.openxmlformats.org/officeDocument/2006/relationships/hyperlink" Target="https://www.behance.net/" TargetMode="External"/><Relationship Id="rId18" Type="http://schemas.openxmlformats.org/officeDocument/2006/relationships/hyperlink" Target="http://www.notcot.org/" TargetMode="External"/><Relationship Id="rId19" Type="http://schemas.openxmlformats.org/officeDocument/2006/relationships/hyperlink" Target="http://mocoloco.com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