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ДОГОВОР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3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78"/>
        <w:gridCol w:w="4777"/>
      </w:tblGrid>
      <w:tr>
        <w:trPr>
          <w:trHeight w:val="108" w:hRule="atLeast"/>
        </w:trPr>
        <w:tc>
          <w:tcPr>
            <w:tcW w:w="4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7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ма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я 202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>
        <w:rPr>
          <w:rFonts w:ascii="Times New Roman" w:hAnsi="Times New Roman"/>
          <w:bCs/>
          <w:sz w:val="24"/>
          <w:szCs w:val="24"/>
          <w:lang w:eastAsia="ru-RU"/>
        </w:rPr>
        <w:t>Краснодарского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края </w:t>
      </w:r>
      <w:r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ГБОУ ИРО Краснодарского края)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 и науки Краснодарского края от 25.09.2015 № 07122, Серия 23Л01 № 0003966, именуемое в дальнейшем «Исполнитель», в лице </w:t>
      </w:r>
      <w:r>
        <w:rPr>
          <w:rFonts w:ascii="Times New Roman" w:hAnsi="Times New Roman"/>
          <w:sz w:val="24"/>
          <w:szCs w:val="24"/>
        </w:rPr>
        <w:t>ректора Гайдук Татьяны Алексеевны, действующего на основании Устава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 одной стороны, и___________________________________________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                                 </w:t>
      </w:r>
      <w:r>
        <w:rPr>
          <w:rFonts w:eastAsia="Times New Roman" w:ascii="Times New Roman" w:hAnsi="Times New Roman"/>
          <w:sz w:val="20"/>
          <w:szCs w:val="20"/>
          <w:lang w:eastAsia="ru-RU"/>
        </w:rPr>
        <w:t>(Ф.И.О.  физического лица, заключающего договор)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bookmarkStart w:id="0" w:name="__DdeLink__1919_717346310"/>
      <w:bookmarkEnd w:id="0"/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Первичная профилактика деструктивного поведения обучающихся в деятельности классного руководителя</w:t>
      </w:r>
      <w:r>
        <w:rPr>
          <w:rFonts w:eastAsia="Times New Roman" w:ascii="Times New Roman" w:hAnsi="Times New Roman"/>
          <w:b/>
          <w:bCs/>
          <w:spacing w:val="-5"/>
          <w:sz w:val="24"/>
          <w:szCs w:val="24"/>
          <w:lang w:eastAsia="ru-RU"/>
        </w:rPr>
        <w:t>»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в объеме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24</w:t>
      </w:r>
      <w:r>
        <w:rPr/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академических часов, а Заказчик обязуется оплатить оказанные услуги.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1.2.  Срок оказания услуг с «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8» </w:t>
      </w:r>
      <w:r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г. Форма обучения очная в режиме онлайн.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г. Краснодар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-142" w:firstLine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2. Права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</w:t>
        <w:tab/>
        <w:t>Исполнитель вправе: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2.1.1.</w:t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2.1.2.</w:t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2.2.</w:t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</w:t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2.3.1.</w:t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2.3.2.</w:t>
        <w:tab/>
        <w:t>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2.3.3.</w:t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2.3.4.</w:t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3. Обязанности Сторон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center" w:pos="5174" w:leader="none"/>
        </w:tabs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</w:t>
        <w:tab/>
        <w:t>Исполнитель обязан: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3.1.1.</w:t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3.1.2.</w:t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3.1.3.</w:t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3.1.4.</w:t>
        <w:tab/>
        <w:t>Обеспечить Заказчику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3.1.5.</w:t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3.1.6.</w:t>
        <w:tab/>
        <w:t>Принимать от Заказчика плату за образовательные услуги.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3.1.7.</w:t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</w:t>
        <w:tab/>
        <w:t>Заказчик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3.2.1 </w:t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3.2.2 </w:t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3.2.3</w:t>
        <w:tab/>
        <w:t>Выполнять задания для подготовки к занятиям, предусмотренным учебным планом.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3.2.4</w:t>
        <w:tab/>
        <w:t>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3.2.5</w:t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3.2.6.</w:t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4. Стоимость услуг, сроки и порядок их оплаты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4.1.</w:t>
        <w:tab/>
        <w:t xml:space="preserve">Сумма по настоящему Договору составляет 1900 (одна тысяча девятьсот) рублей 00 копеек, и является фиксированной на весь период его действия. НДС не облагается (пп. 14, ч. 2, ст. 149 Налогового кодекса РФ).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4.2.</w:t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>4.3.</w:t>
        <w:tab/>
        <w:t>Оплата по Договору осуществляется Заказчиком в срок не позднее «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18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»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июня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202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5.1.</w:t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5.2.</w:t>
        <w:tab/>
        <w:t>Настоящий Договор может быть расторгнут по соглашению Сторон,</w:t>
      </w: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5.3.</w:t>
        <w:tab/>
        <w:t xml:space="preserve">Договор может быть расторгнут по инициативе Исполнителя в одностороннем порядке в случаях: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5.4.</w:t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5.5.</w:t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6.1.</w:t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6.2.</w:t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6.2.1.</w:t>
        <w:tab/>
        <w:t>Безвозмездного оказания образовательной услуги;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6.2.2.</w:t>
        <w:tab/>
        <w:t>Соразмерного уменьшения стоимости оказанной образовательной услуги.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9. Срок действия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9.1.</w:t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10. 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10.1.</w:t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10.2.</w:t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10.3.</w:t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10.4.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11. Реквизиты Сторон</w:t>
      </w:r>
    </w:p>
    <w:tbl>
      <w:tblPr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255"/>
        <w:gridCol w:w="4662"/>
      </w:tblGrid>
      <w:tr>
        <w:trPr/>
        <w:tc>
          <w:tcPr>
            <w:tcW w:w="52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(Ф.И.О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Адрес места жительства: 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Телефон__________________________________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(Ф.И.О)                     (подпись)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Ректор    ______________ Т.А. Гайдук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right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right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(Форма)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АКТ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>г. Краснодар</w:t>
        <w:tab/>
        <w:tab/>
        <w:tab/>
        <w:tab/>
        <w:tab/>
        <w:t xml:space="preserve">                                                  «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18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»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ма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я 202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8"/>
          <w:szCs w:val="28"/>
        </w:rPr>
        <w:t xml:space="preserve">Исполнитель: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>
        <w:rPr>
          <w:rFonts w:eastAsia="Times New Roman"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>ректора Гайдук Татьяны Алексеевны, действующего на основании Устава.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ИНН: </w:t>
      </w:r>
      <w:r>
        <w:rPr>
          <w:rFonts w:eastAsia="Times New Roman" w:ascii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Адрес: </w:t>
      </w:r>
      <w:r>
        <w:rPr>
          <w:rFonts w:eastAsia="Times New Roman" w:ascii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Телефон: 8 (861) </w:t>
      </w:r>
      <w:r>
        <w:rPr>
          <w:rFonts w:eastAsia="Times New Roman" w:ascii="Times New Roman" w:hAnsi="Times New Roman"/>
          <w:bCs/>
          <w:sz w:val="24"/>
          <w:szCs w:val="24"/>
          <w:u w:val="single"/>
          <w:lang w:eastAsia="ru-RU"/>
        </w:rPr>
        <w:t>260-34-19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u w:val="single"/>
        </w:rPr>
        <w:t>(бухгалтерия)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u w:val="single"/>
        </w:rPr>
      </w:pPr>
      <w:r>
        <w:rPr>
          <w:rFonts w:eastAsia="Times New Roman" w:ascii="Times New Roman" w:hAnsi="Times New Roman"/>
          <w:sz w:val="28"/>
          <w:szCs w:val="28"/>
        </w:rPr>
        <w:t xml:space="preserve">Заказчик: </w:t>
        <w:tab/>
      </w:r>
      <w:r>
        <w:rPr>
          <w:rFonts w:eastAsia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0"/>
          <w:szCs w:val="20"/>
          <w:vertAlign w:val="superscript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sz w:val="20"/>
          <w:szCs w:val="20"/>
          <w:lang w:eastAsia="ru-RU"/>
        </w:rPr>
        <w:t>(Ф.И.О.  физического лица, заключившего договор)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8"/>
          <w:szCs w:val="28"/>
        </w:rPr>
        <w:t xml:space="preserve">Основание: </w:t>
      </w:r>
      <w:r>
        <w:rPr>
          <w:rFonts w:eastAsia="Times New Roman" w:ascii="Times New Roman" w:hAnsi="Times New Roman"/>
          <w:sz w:val="24"/>
          <w:szCs w:val="24"/>
          <w:u w:val="single"/>
        </w:rPr>
        <w:t>Договор №</w:t>
        <w:tab/>
        <w:t xml:space="preserve"> </w:t>
        <w:tab/>
        <w:tab/>
        <w:t xml:space="preserve">   от</w:t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</w:r>
    </w:p>
    <w:tbl>
      <w:tblPr>
        <w:tblStyle w:val="1"/>
        <w:tblpPr w:bottomFromText="0" w:horzAnchor="margin" w:leftFromText="180" w:rightFromText="180" w:tblpX="0" w:tblpY="118" w:topFromText="0" w:vertAnchor="text"/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"/>
        <w:gridCol w:w="4778"/>
        <w:gridCol w:w="1984"/>
        <w:gridCol w:w="1844"/>
      </w:tblGrid>
      <w:tr>
        <w:trPr>
          <w:trHeight w:val="1269" w:hRule="atLeast"/>
        </w:trPr>
        <w:tc>
          <w:tcPr>
            <w:tcW w:w="4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</w:rPr>
              <w:t>Стоимость обучения слушателя, руб.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НДС не облагается</w:t>
            </w:r>
            <w:r>
              <w:rPr>
                <w:rFonts w:eastAsia="Times New Roman" w:ascii="Times New Roman" w:hAnsi="Times New Roman"/>
              </w:rPr>
              <w:t>, руб.</w:t>
            </w:r>
          </w:p>
        </w:tc>
      </w:tr>
      <w:tr>
        <w:trPr>
          <w:trHeight w:val="438" w:hRule="atLeast"/>
        </w:trPr>
        <w:tc>
          <w:tcPr>
            <w:tcW w:w="4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Реализации дополнительной профессиональной программы повышения квалификации: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«Современные технологии, формы и методы работы по профилактике наркомании в образовательной организации»</w:t>
            </w:r>
            <w:r>
              <w:rPr>
                <w:rFonts w:eastAsia="Times New Roman" w:ascii="Times New Roman" w:hAnsi="Times New Roman"/>
                <w:i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i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984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1900 рублей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00 копеек</w:t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bookmarkStart w:id="1" w:name="_GoBack"/>
            <w:bookmarkStart w:id="2" w:name="_GoBack"/>
            <w:bookmarkEnd w:id="2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eastAsia="Times New Roman" w:ascii="Times New Roman" w:hAnsi="Times New Roman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Итого:</w:t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НДС не облагается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Всего оказано услуг на сумму: </w:t>
        <w:tab/>
      </w: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 w:ascii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От исполнителя: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ab/>
        <w:tab/>
        <w:tab/>
        <w:t xml:space="preserve">                                   </w:t>
        <w:tab/>
        <w:tab/>
        <w:tab/>
        <w:tab/>
        <w:t>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eastAsia="Times New Roman" w:ascii="Times New Roman" w:hAnsi="Times New Roman"/>
          <w:sz w:val="18"/>
          <w:szCs w:val="18"/>
          <w:lang w:eastAsia="ru-RU"/>
        </w:rPr>
        <w:t xml:space="preserve">                </w:t>
      </w:r>
      <w:r>
        <w:rPr>
          <w:rFonts w:eastAsia="Times New Roman" w:ascii="Times New Roman" w:hAnsi="Times New Roman"/>
          <w:sz w:val="18"/>
          <w:szCs w:val="18"/>
          <w:lang w:eastAsia="ru-RU"/>
        </w:rPr>
        <w:t xml:space="preserve">должность                                                            (подпись) </w:t>
        <w:tab/>
        <w:tab/>
        <w:tab/>
        <w:t xml:space="preserve"> (расшифровка)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От заказчика: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18"/>
          <w:szCs w:val="18"/>
          <w:lang w:eastAsia="ru-RU"/>
        </w:rPr>
        <w:tab/>
        <w:tab/>
        <w:tab/>
        <w:tab/>
        <w:t xml:space="preserve">(подпись) </w:t>
        <w:tab/>
        <w:tab/>
        <w:tab/>
        <w:t>(расшифровка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)</w:t>
      </w:r>
    </w:p>
    <w:sectPr>
      <w:headerReference w:type="default" r:id="rId2"/>
      <w:type w:val="nextPage"/>
      <w:pgSz w:w="11906" w:h="16838"/>
      <w:pgMar w:left="1701" w:right="849" w:header="425" w:top="482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73812006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2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sz w:val="24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lvl w:ilvl="0">
      <w:start w:val="8"/>
      <w:numFmt w:val="decimal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7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locked/>
    <w:rsid w:val="006d2377"/>
    <w:rPr>
      <w:rFonts w:cs="Times New Roman"/>
    </w:rPr>
  </w:style>
  <w:style w:type="character" w:styleId="Style14" w:customStyle="1">
    <w:name w:val="Нижний колонтитул Знак"/>
    <w:uiPriority w:val="99"/>
    <w:qFormat/>
    <w:locked/>
    <w:rsid w:val="006d2377"/>
    <w:rPr>
      <w:rFonts w:cs="Times New Roman"/>
    </w:rPr>
  </w:style>
  <w:style w:type="character" w:styleId="Style15" w:customStyle="1">
    <w:name w:val="Основной текст Знак"/>
    <w:basedOn w:val="DefaultParagraphFont"/>
    <w:uiPriority w:val="99"/>
    <w:qFormat/>
    <w:rsid w:val="00ab2653"/>
    <w:rPr>
      <w:rFonts w:ascii="Times New Roman" w:hAnsi="Times New Roman" w:eastAsia="Times New Roman"/>
      <w:sz w:val="28"/>
      <w:szCs w:val="24"/>
    </w:rPr>
  </w:style>
  <w:style w:type="character" w:styleId="Style16" w:customStyle="1">
    <w:name w:val="Интернет-ссылка"/>
    <w:basedOn w:val="DefaultParagraphFont"/>
    <w:uiPriority w:val="99"/>
    <w:unhideWhenUsed/>
    <w:rsid w:val="0049381c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ascii="Times New Roman" w:hAnsi="Times New Roman"/>
      <w:b/>
      <w:sz w:val="24"/>
    </w:rPr>
  </w:style>
  <w:style w:type="character" w:styleId="ListLabel18">
    <w:name w:val="ListLabel 18"/>
    <w:qFormat/>
    <w:rPr>
      <w:rFonts w:ascii="Times New Roman" w:hAnsi="Times New Roman"/>
      <w:b/>
      <w:sz w:val="24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8">
    <w:name w:val="Body Text"/>
    <w:basedOn w:val="Normal"/>
    <w:uiPriority w:val="99"/>
    <w:unhideWhenUsed/>
    <w:rsid w:val="00ab2653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6d2377"/>
    <w:pPr>
      <w:spacing w:before="0" w:after="200"/>
      <w:ind w:left="720" w:hanging="0"/>
      <w:contextualSpacing/>
    </w:pPr>
    <w:rPr/>
  </w:style>
  <w:style w:type="paragraph" w:styleId="Style22">
    <w:name w:val="Header"/>
    <w:basedOn w:val="Normal"/>
    <w:uiPriority w:val="99"/>
    <w:rsid w:val="006d237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rsid w:val="006d237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rsid w:val="004e73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3"/>
    <w:uiPriority w:val="59"/>
    <w:rsid w:val="002307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Trio_Office/6.2.8.2$Windows_x86 LibreOffice_project/</Application>
  <Pages>6</Pages>
  <Words>1503</Words>
  <Characters>11368</Characters>
  <CharactersWithSpaces>13196</CharactersWithSpaces>
  <Paragraphs>144</Paragraphs>
  <Company>kkidppo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2021-01-12T14:04:00Z</dcterms:created>
  <dc:creator>org3</dc:creator>
  <dc:description/>
  <dc:language>ru-RU</dc:language>
  <cp:lastModifiedBy/>
  <cp:lastPrinted>2020-04-27T05:20:00Z</cp:lastPrinted>
  <dcterms:modified xsi:type="dcterms:W3CDTF">2022-03-28T15:28:31Z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kkidppo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