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0BB" w:rsidRPr="00C145AF" w:rsidRDefault="0023393F" w:rsidP="00682B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C145AF">
        <w:rPr>
          <w:rFonts w:ascii="Times New Roman" w:hAnsi="Times New Roman" w:cs="Times New Roman"/>
          <w:b/>
          <w:bCs/>
          <w:caps/>
          <w:sz w:val="20"/>
          <w:szCs w:val="20"/>
        </w:rPr>
        <w:t>Интерпретация единиц измерения по позициям мониторинга</w:t>
      </w:r>
    </w:p>
    <w:p w:rsidR="001A224C" w:rsidRPr="00C145AF" w:rsidRDefault="001A224C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907F0" w:rsidRPr="00C145AF" w:rsidRDefault="0023393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45AF">
        <w:rPr>
          <w:rFonts w:ascii="Times New Roman" w:hAnsi="Times New Roman" w:cs="Times New Roman"/>
          <w:b/>
          <w:bCs/>
          <w:sz w:val="20"/>
          <w:szCs w:val="20"/>
        </w:rPr>
        <w:t>Замечания по заполнению мониторинга в 202</w:t>
      </w:r>
      <w:r w:rsidR="007E020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145AF">
        <w:rPr>
          <w:rFonts w:ascii="Times New Roman" w:hAnsi="Times New Roman" w:cs="Times New Roman"/>
          <w:b/>
          <w:bCs/>
          <w:sz w:val="20"/>
          <w:szCs w:val="20"/>
        </w:rPr>
        <w:t xml:space="preserve"> году:</w:t>
      </w:r>
    </w:p>
    <w:p w:rsidR="0023393F" w:rsidRPr="00C145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145AF">
        <w:rPr>
          <w:rFonts w:ascii="Times New Roman" w:hAnsi="Times New Roman"/>
          <w:color w:val="000000" w:themeColor="text1"/>
          <w:sz w:val="20"/>
          <w:szCs w:val="20"/>
        </w:rPr>
        <w:t>ссылки на документы не конечные, что требует, как правило, длительного поиска нужного документа в совокупности других документов;</w:t>
      </w:r>
    </w:p>
    <w:p w:rsidR="0023393F" w:rsidRPr="00C145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145AF">
        <w:rPr>
          <w:rFonts w:ascii="Times New Roman" w:hAnsi="Times New Roman"/>
          <w:color w:val="000000" w:themeColor="text1"/>
          <w:sz w:val="20"/>
          <w:szCs w:val="20"/>
        </w:rPr>
        <w:t>ссылки отсутствуют;</w:t>
      </w:r>
    </w:p>
    <w:p w:rsidR="0023393F" w:rsidRPr="00C145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145AF">
        <w:rPr>
          <w:rFonts w:ascii="Times New Roman" w:hAnsi="Times New Roman"/>
          <w:color w:val="000000" w:themeColor="text1"/>
          <w:sz w:val="20"/>
          <w:szCs w:val="20"/>
        </w:rPr>
        <w:t>указана ссылка, но по ней нет нужных документов;</w:t>
      </w:r>
    </w:p>
    <w:p w:rsidR="0023393F" w:rsidRPr="00C145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145AF">
        <w:rPr>
          <w:rFonts w:ascii="Times New Roman" w:hAnsi="Times New Roman"/>
          <w:color w:val="000000" w:themeColor="text1"/>
          <w:sz w:val="20"/>
          <w:szCs w:val="20"/>
        </w:rPr>
        <w:t>документы размещаются в хранилищах (например, Яндекс Диск), а не на официальных сайтах;</w:t>
      </w:r>
    </w:p>
    <w:p w:rsidR="0023393F" w:rsidRPr="00C145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145AF">
        <w:rPr>
          <w:rFonts w:ascii="Times New Roman" w:hAnsi="Times New Roman"/>
          <w:color w:val="000000" w:themeColor="text1"/>
          <w:sz w:val="20"/>
          <w:szCs w:val="20"/>
        </w:rPr>
        <w:t>ссылки даны на социальные сети, где нет документов, а только сообщения о мероприятиях;</w:t>
      </w:r>
    </w:p>
    <w:p w:rsidR="0023393F" w:rsidRPr="00C145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145AF">
        <w:rPr>
          <w:rFonts w:ascii="Times New Roman" w:hAnsi="Times New Roman"/>
          <w:color w:val="000000" w:themeColor="text1"/>
          <w:sz w:val="20"/>
          <w:szCs w:val="20"/>
        </w:rPr>
        <w:t>встречаются лишние ссылки;</w:t>
      </w:r>
    </w:p>
    <w:p w:rsidR="0023393F" w:rsidRPr="00C145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145AF">
        <w:rPr>
          <w:rFonts w:ascii="Times New Roman" w:hAnsi="Times New Roman"/>
          <w:color w:val="000000" w:themeColor="text1"/>
          <w:sz w:val="20"/>
          <w:szCs w:val="20"/>
        </w:rPr>
        <w:t>по ссылкам размещаются неподписанные документы.</w:t>
      </w:r>
    </w:p>
    <w:p w:rsidR="0023393F" w:rsidRPr="00C145AF" w:rsidRDefault="0023393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45AF">
        <w:rPr>
          <w:rFonts w:ascii="Times New Roman" w:hAnsi="Times New Roman" w:cs="Times New Roman"/>
          <w:b/>
          <w:bCs/>
          <w:sz w:val="20"/>
          <w:szCs w:val="20"/>
        </w:rPr>
        <w:t>Указанные недостатки должны быть устранены при заполнении мониторинга в этом году.</w:t>
      </w:r>
    </w:p>
    <w:p w:rsidR="0023393F" w:rsidRPr="00C145AF" w:rsidRDefault="0023393F" w:rsidP="00682B4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3393F" w:rsidRPr="00C145AF" w:rsidRDefault="0023393F" w:rsidP="00682B4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45AF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Показатели </w:t>
      </w:r>
      <w:r w:rsidRPr="00C145AF">
        <w:rPr>
          <w:rFonts w:ascii="Times New Roman" w:hAnsi="Times New Roman" w:cs="Times New Roman"/>
          <w:b/>
          <w:caps/>
          <w:sz w:val="20"/>
          <w:szCs w:val="20"/>
        </w:rPr>
        <w:t>эффективности методической работы</w:t>
      </w:r>
    </w:p>
    <w:p w:rsidR="0023393F" w:rsidRPr="00C145AF" w:rsidRDefault="0023393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191" w:type="dxa"/>
        <w:tblInd w:w="113" w:type="dxa"/>
        <w:tblLook w:val="04A0" w:firstRow="1" w:lastRow="0" w:firstColumn="1" w:lastColumn="0" w:noHBand="0" w:noVBand="1"/>
      </w:tblPr>
      <w:tblGrid>
        <w:gridCol w:w="447"/>
        <w:gridCol w:w="2026"/>
        <w:gridCol w:w="3658"/>
        <w:gridCol w:w="1113"/>
        <w:gridCol w:w="2107"/>
        <w:gridCol w:w="5840"/>
      </w:tblGrid>
      <w:tr w:rsidR="006063AD" w:rsidRPr="00C145AF" w:rsidTr="00503782">
        <w:tc>
          <w:tcPr>
            <w:tcW w:w="447" w:type="dxa"/>
            <w:vMerge w:val="restart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26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3658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13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107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Подтверждающие документы (ссылка на страницу или раздел сайта)</w:t>
            </w:r>
          </w:p>
        </w:tc>
        <w:tc>
          <w:tcPr>
            <w:tcW w:w="5840" w:type="dxa"/>
            <w:vMerge w:val="restart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Комментарии</w:t>
            </w:r>
          </w:p>
        </w:tc>
      </w:tr>
      <w:tr w:rsidR="006063AD" w:rsidRPr="00C145AF" w:rsidTr="00503782">
        <w:tc>
          <w:tcPr>
            <w:tcW w:w="447" w:type="dxa"/>
            <w:vMerge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8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3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7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40" w:type="dxa"/>
            <w:vMerge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3AD" w:rsidRPr="00C145AF" w:rsidTr="00503782">
        <w:tc>
          <w:tcPr>
            <w:tcW w:w="447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744" w:type="dxa"/>
            <w:gridSpan w:val="5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Направление: обеспеченность методической помощью</w:t>
            </w:r>
          </w:p>
        </w:tc>
      </w:tr>
      <w:tr w:rsidR="006063AD" w:rsidRPr="00C145AF" w:rsidTr="00503782">
        <w:tc>
          <w:tcPr>
            <w:tcW w:w="447" w:type="dxa"/>
            <w:vMerge w:val="restart"/>
          </w:tcPr>
          <w:p w:rsidR="006063AD" w:rsidRPr="00C145AF" w:rsidRDefault="006063AD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4246077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6" w:type="dxa"/>
            <w:vMerge w:val="restart"/>
          </w:tcPr>
          <w:p w:rsidR="006063AD" w:rsidRPr="00C145AF" w:rsidRDefault="006063AD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Изучение профессиональных потребностей и дефицитов работников образования</w:t>
            </w:r>
          </w:p>
        </w:tc>
        <w:tc>
          <w:tcPr>
            <w:tcW w:w="3658" w:type="dxa"/>
          </w:tcPr>
          <w:p w:rsidR="006063AD" w:rsidRPr="00C145AF" w:rsidRDefault="006063AD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1.1. Наличие муниципального мониторинга профессиональных потребностей и дефицитов работников образования</w:t>
            </w:r>
          </w:p>
        </w:tc>
        <w:tc>
          <w:tcPr>
            <w:tcW w:w="1113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6063AD" w:rsidRPr="00C145AF" w:rsidRDefault="006063AD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Описание мониторинга</w:t>
            </w:r>
          </w:p>
        </w:tc>
        <w:tc>
          <w:tcPr>
            <w:tcW w:w="5840" w:type="dxa"/>
          </w:tcPr>
          <w:p w:rsidR="006063AD" w:rsidRPr="00C145AF" w:rsidRDefault="006063AD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23393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баллов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– незаполненный раздел</w:t>
            </w:r>
            <w:r w:rsidR="00BC22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неподписанны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>ы,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23393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 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>качественн</w:t>
            </w:r>
            <w:r w:rsidR="0023393F" w:rsidRPr="00C145AF">
              <w:rPr>
                <w:rFonts w:ascii="Times New Roman" w:hAnsi="Times New Roman" w:cs="Times New Roman"/>
                <w:sz w:val="20"/>
                <w:szCs w:val="20"/>
              </w:rPr>
              <w:t>о составленные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>или неполный пакет документов</w:t>
            </w:r>
            <w:r w:rsidR="00EA5D6B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5D6B" w:rsidRPr="00C145AF" w:rsidRDefault="00EA5D6B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23393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балл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3393F" w:rsidRPr="00C145AF">
              <w:rPr>
                <w:rFonts w:ascii="Times New Roman" w:hAnsi="Times New Roman" w:cs="Times New Roman"/>
                <w:sz w:val="20"/>
                <w:szCs w:val="20"/>
              </w:rPr>
              <w:t>полный пакет документов, документы подписаны и качественно оформлены</w:t>
            </w: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BC223B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23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C223B">
              <w:rPr>
                <w:rFonts w:ascii="Times New Roman" w:hAnsi="Times New Roman" w:cs="Times New Roman"/>
                <w:sz w:val="20"/>
                <w:szCs w:val="20"/>
              </w:rPr>
              <w:t xml:space="preserve">. 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аналитической справки по </w:t>
            </w:r>
            <w:r w:rsidRPr="00BC223B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BC223B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C223B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потребностей и дефицитов работников образования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BC223B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>аличие аналитической справки</w:t>
            </w:r>
          </w:p>
        </w:tc>
        <w:tc>
          <w:tcPr>
            <w:tcW w:w="5840" w:type="dxa"/>
          </w:tcPr>
          <w:p w:rsidR="0023393F" w:rsidRPr="00C145AF" w:rsidRDefault="0023393F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незаполненный раздел</w:t>
            </w:r>
            <w:r w:rsidR="00BC22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неподписанные документы, недостаточно качественно составленные документы или неполный пакет документов </w:t>
            </w:r>
          </w:p>
          <w:p w:rsidR="002F774A" w:rsidRPr="00C145AF" w:rsidRDefault="0023393F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– полный пакет документов, документы подписаны и качественно оформлены</w:t>
            </w:r>
          </w:p>
        </w:tc>
      </w:tr>
      <w:bookmarkEnd w:id="0"/>
      <w:tr w:rsidR="00BC223B" w:rsidRPr="00C145AF" w:rsidTr="00503782">
        <w:trPr>
          <w:trHeight w:val="407"/>
        </w:trPr>
        <w:tc>
          <w:tcPr>
            <w:tcW w:w="447" w:type="dxa"/>
            <w:vMerge w:val="restart"/>
          </w:tcPr>
          <w:p w:rsidR="00BC223B" w:rsidRPr="00C145AF" w:rsidRDefault="00BC223B" w:rsidP="00BC223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6" w:type="dxa"/>
            <w:vMerge w:val="restart"/>
          </w:tcPr>
          <w:p w:rsidR="00BC223B" w:rsidRPr="00C145AF" w:rsidRDefault="00BC223B" w:rsidP="00BC223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муниципального мониторинга качества дошкольного образования</w:t>
            </w:r>
          </w:p>
        </w:tc>
        <w:tc>
          <w:tcPr>
            <w:tcW w:w="3658" w:type="dxa"/>
          </w:tcPr>
          <w:p w:rsidR="00BC223B" w:rsidRPr="00C145AF" w:rsidRDefault="001470E1" w:rsidP="00B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223B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.1. Наличие муниципального мониторинга </w:t>
            </w:r>
            <w:r w:rsidR="00591514" w:rsidRPr="00591514">
              <w:rPr>
                <w:rFonts w:ascii="Times New Roman" w:hAnsi="Times New Roman" w:cs="Times New Roman"/>
                <w:sz w:val="20"/>
                <w:szCs w:val="20"/>
              </w:rPr>
              <w:t>качества дошкольного образования</w:t>
            </w:r>
          </w:p>
        </w:tc>
        <w:tc>
          <w:tcPr>
            <w:tcW w:w="1113" w:type="dxa"/>
          </w:tcPr>
          <w:p w:rsidR="00BC223B" w:rsidRPr="00C145AF" w:rsidRDefault="00BC223B" w:rsidP="00BC2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C223B" w:rsidRPr="00C145AF" w:rsidRDefault="00BC223B" w:rsidP="00BC2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BC223B" w:rsidRPr="00C145AF" w:rsidRDefault="00BC223B" w:rsidP="00B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Описание мониторинга</w:t>
            </w:r>
          </w:p>
        </w:tc>
        <w:tc>
          <w:tcPr>
            <w:tcW w:w="5840" w:type="dxa"/>
          </w:tcPr>
          <w:p w:rsidR="00BC223B" w:rsidRPr="00C145AF" w:rsidRDefault="00BC223B" w:rsidP="00B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незаполненный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неподписанные документы, недостаточно качественно составленные документы или неполный пакет документов </w:t>
            </w:r>
          </w:p>
          <w:p w:rsidR="00BC223B" w:rsidRPr="00C145AF" w:rsidRDefault="00BC223B" w:rsidP="00B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– полный пакет документов, документы подписаны и качественно оформлены</w:t>
            </w:r>
          </w:p>
        </w:tc>
      </w:tr>
      <w:tr w:rsidR="00BC223B" w:rsidRPr="00C145AF" w:rsidTr="00503782">
        <w:trPr>
          <w:trHeight w:val="406"/>
        </w:trPr>
        <w:tc>
          <w:tcPr>
            <w:tcW w:w="447" w:type="dxa"/>
            <w:vMerge/>
          </w:tcPr>
          <w:p w:rsidR="00BC223B" w:rsidRPr="00C145AF" w:rsidRDefault="00BC223B" w:rsidP="00BC223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BC223B" w:rsidRPr="00C145AF" w:rsidRDefault="00BC223B" w:rsidP="00BC223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BC223B" w:rsidRPr="00C145AF" w:rsidRDefault="001470E1" w:rsidP="00B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223B" w:rsidRPr="00BC22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22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223B" w:rsidRPr="00BC223B">
              <w:rPr>
                <w:rFonts w:ascii="Times New Roman" w:hAnsi="Times New Roman" w:cs="Times New Roman"/>
                <w:sz w:val="20"/>
                <w:szCs w:val="20"/>
              </w:rPr>
              <w:t xml:space="preserve">. Наличие </w:t>
            </w:r>
            <w:r w:rsidR="00BC223B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аналитической справки по </w:t>
            </w:r>
            <w:r w:rsidR="00BC223B" w:rsidRPr="00BC223B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BC223B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BC223B" w:rsidRPr="00BC223B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</w:t>
            </w:r>
            <w:r w:rsidR="00BC223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C223B" w:rsidRPr="00BC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70E1">
              <w:rPr>
                <w:rFonts w:ascii="Times New Roman" w:hAnsi="Times New Roman" w:cs="Times New Roman"/>
                <w:sz w:val="20"/>
                <w:szCs w:val="20"/>
              </w:rPr>
              <w:t>качества дошкольного образования</w:t>
            </w:r>
          </w:p>
        </w:tc>
        <w:tc>
          <w:tcPr>
            <w:tcW w:w="1113" w:type="dxa"/>
          </w:tcPr>
          <w:p w:rsidR="00BC223B" w:rsidRPr="00C145AF" w:rsidRDefault="00BC223B" w:rsidP="00BC2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C223B" w:rsidRPr="00C145AF" w:rsidRDefault="00BC223B" w:rsidP="00BC2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BC223B" w:rsidRPr="00C145AF" w:rsidRDefault="00BC223B" w:rsidP="00B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аличие аналитической справки</w:t>
            </w:r>
          </w:p>
        </w:tc>
        <w:tc>
          <w:tcPr>
            <w:tcW w:w="5840" w:type="dxa"/>
          </w:tcPr>
          <w:p w:rsidR="00BC223B" w:rsidRPr="00C145AF" w:rsidRDefault="00BC223B" w:rsidP="00B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незаполненный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неподписанные документы, недостаточно качественно составленные документы или неполный пакет документов </w:t>
            </w:r>
          </w:p>
          <w:p w:rsidR="00BC223B" w:rsidRPr="00C145AF" w:rsidRDefault="00BC223B" w:rsidP="00B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– полный пакет документов, документы подписаны и качественно оформлены</w:t>
            </w:r>
          </w:p>
        </w:tc>
      </w:tr>
      <w:tr w:rsidR="002F774A" w:rsidRPr="00C145AF" w:rsidTr="00503782">
        <w:tc>
          <w:tcPr>
            <w:tcW w:w="447" w:type="dxa"/>
            <w:vMerge w:val="restart"/>
          </w:tcPr>
          <w:p w:rsidR="002F774A" w:rsidRPr="00271EF2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6" w:type="dxa"/>
            <w:vMerge w:val="restart"/>
          </w:tcPr>
          <w:p w:rsidR="002F774A" w:rsidRPr="00271EF2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Виртуальный методический </w:t>
            </w:r>
            <w:r w:rsidRPr="00271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</w:t>
            </w:r>
          </w:p>
        </w:tc>
        <w:tc>
          <w:tcPr>
            <w:tcW w:w="3658" w:type="dxa"/>
          </w:tcPr>
          <w:p w:rsidR="002F774A" w:rsidRPr="00271EF2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 Наличие медиатеки современных учебно-методических материалов</w:t>
            </w:r>
          </w:p>
        </w:tc>
        <w:tc>
          <w:tcPr>
            <w:tcW w:w="1113" w:type="dxa"/>
          </w:tcPr>
          <w:p w:rsidR="002F774A" w:rsidRPr="00271EF2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271EF2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271EF2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Медиатека</w:t>
            </w:r>
          </w:p>
        </w:tc>
        <w:tc>
          <w:tcPr>
            <w:tcW w:w="5840" w:type="dxa"/>
          </w:tcPr>
          <w:p w:rsidR="0023393F" w:rsidRPr="00271EF2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Медиатека должна </w:t>
            </w:r>
            <w:r w:rsidR="0023393F" w:rsidRPr="00271EF2">
              <w:rPr>
                <w:rFonts w:ascii="Times New Roman" w:hAnsi="Times New Roman" w:cs="Times New Roman"/>
                <w:sz w:val="20"/>
                <w:szCs w:val="20"/>
              </w:rPr>
              <w:t>содержать материалы, подготовленные в 202</w:t>
            </w:r>
            <w:r w:rsidR="001470E1" w:rsidRPr="00271E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393F"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  <w:p w:rsidR="008B34BF" w:rsidRPr="00271EF2" w:rsidRDefault="008B34BF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Медиатека включает </w:t>
            </w:r>
            <w:r w:rsidR="002F774A" w:rsidRPr="00271EF2">
              <w:rPr>
                <w:rFonts w:ascii="Times New Roman" w:hAnsi="Times New Roman" w:cs="Times New Roman"/>
                <w:sz w:val="20"/>
                <w:szCs w:val="20"/>
              </w:rPr>
              <w:t>методически</w:t>
            </w: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F774A"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рекомендации, рабочи</w:t>
            </w: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F774A"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F774A" w:rsidRPr="00271EF2">
              <w:rPr>
                <w:rFonts w:ascii="Times New Roman" w:hAnsi="Times New Roman" w:cs="Times New Roman"/>
                <w:sz w:val="20"/>
                <w:szCs w:val="20"/>
              </w:rPr>
              <w:t>, пособия, видеоматериал</w:t>
            </w: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F774A"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 и др. </w:t>
            </w:r>
          </w:p>
          <w:p w:rsidR="002F774A" w:rsidRPr="00271EF2" w:rsidRDefault="008B34BF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1 балл выставляется при наличии в медиатеке </w:t>
            </w:r>
            <w:r w:rsidR="002F774A" w:rsidRPr="00271E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 и более материалов</w:t>
            </w:r>
            <w:r w:rsidR="002F774A" w:rsidRPr="00271E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Отсутствие медиатеки оценивается в 0 баллов</w:t>
            </w: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D1FF8" w:rsidRPr="00C14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 Виртуальные консультации</w:t>
            </w:r>
            <w:r w:rsidR="001470E1">
              <w:rPr>
                <w:rFonts w:ascii="Times New Roman" w:hAnsi="Times New Roman" w:cs="Times New Roman"/>
                <w:sz w:val="20"/>
                <w:szCs w:val="20"/>
              </w:rPr>
              <w:t xml:space="preserve">: наличие контактной информации </w:t>
            </w:r>
            <w:r w:rsidR="000B40B4">
              <w:rPr>
                <w:rFonts w:ascii="Times New Roman" w:hAnsi="Times New Roman" w:cs="Times New Roman"/>
                <w:sz w:val="20"/>
                <w:szCs w:val="20"/>
              </w:rPr>
              <w:t>для получения консультативной помощи (</w:t>
            </w:r>
            <w:r w:rsidR="001470E1">
              <w:rPr>
                <w:rFonts w:ascii="Times New Roman" w:hAnsi="Times New Roman" w:cs="Times New Roman"/>
                <w:sz w:val="20"/>
                <w:szCs w:val="20"/>
              </w:rPr>
              <w:t xml:space="preserve">телефонов, </w:t>
            </w:r>
            <w:proofErr w:type="spellStart"/>
            <w:r w:rsidR="001470E1" w:rsidRPr="001470E1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="001470E1">
              <w:rPr>
                <w:rFonts w:ascii="Times New Roman" w:hAnsi="Times New Roman" w:cs="Times New Roman"/>
                <w:sz w:val="20"/>
                <w:szCs w:val="20"/>
              </w:rPr>
              <w:t xml:space="preserve"> и т.д.</w:t>
            </w:r>
            <w:r w:rsidR="000B40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</w:tcPr>
          <w:p w:rsidR="002F774A" w:rsidRPr="00C145AF" w:rsidRDefault="002F774A" w:rsidP="00147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</w:p>
        </w:tc>
        <w:tc>
          <w:tcPr>
            <w:tcW w:w="5840" w:type="dxa"/>
          </w:tcPr>
          <w:p w:rsidR="002F774A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 сайте ТМС </w:t>
            </w:r>
            <w:r w:rsidR="001470E1" w:rsidRPr="001470E1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контактной информации </w:t>
            </w:r>
            <w:r w:rsidR="000B40B4" w:rsidRPr="000B40B4">
              <w:rPr>
                <w:rFonts w:ascii="Times New Roman" w:hAnsi="Times New Roman" w:cs="Times New Roman"/>
                <w:sz w:val="20"/>
                <w:szCs w:val="20"/>
              </w:rPr>
              <w:t>оценивается в 1 балл.</w:t>
            </w:r>
          </w:p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782">
              <w:rPr>
                <w:rFonts w:ascii="Times New Roman" w:hAnsi="Times New Roman" w:cs="Times New Roman"/>
                <w:sz w:val="20"/>
                <w:szCs w:val="20"/>
              </w:rPr>
              <w:t>Отсутствие контактной информации о сотрудниках оценивается в 0 баллов</w:t>
            </w:r>
          </w:p>
        </w:tc>
      </w:tr>
      <w:tr w:rsidR="002F774A" w:rsidRPr="00C145AF" w:rsidTr="00503782">
        <w:tc>
          <w:tcPr>
            <w:tcW w:w="447" w:type="dxa"/>
            <w:vMerge w:val="restart"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6" w:type="dxa"/>
            <w:vMerge w:val="restart"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Прогнозирование, планирование и организация повышения квалификации педагогических работников</w:t>
            </w: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4.1. Наличие плана-графика повышения квалификации педагогических работников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</w:t>
            </w:r>
          </w:p>
        </w:tc>
        <w:tc>
          <w:tcPr>
            <w:tcW w:w="5840" w:type="dxa"/>
          </w:tcPr>
          <w:p w:rsidR="008B34BF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 сайте плана-графика оценивается в 1 балл. 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плана-графика оценивается в 0 баллов</w:t>
            </w: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4.2. Наличие анализа выполнения плана-графика повышения квалификации педагогических работников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по результатам выполнения плана-графика</w:t>
            </w:r>
          </w:p>
        </w:tc>
        <w:tc>
          <w:tcPr>
            <w:tcW w:w="5840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аналитической справки по результатам выполнения плана-графика оценивается в 1 балл.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аналитической справки оценивается в 0 баллов</w:t>
            </w:r>
          </w:p>
        </w:tc>
      </w:tr>
      <w:tr w:rsidR="002F774A" w:rsidRPr="00271EF2" w:rsidTr="00503782">
        <w:tc>
          <w:tcPr>
            <w:tcW w:w="44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026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Разработка и издание методических материалов</w:t>
            </w: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147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методических материалов, значимых для </w:t>
            </w:r>
            <w:r w:rsidR="001470E1">
              <w:rPr>
                <w:rFonts w:ascii="Times New Roman" w:hAnsi="Times New Roman" w:cs="Times New Roman"/>
                <w:sz w:val="20"/>
                <w:szCs w:val="20"/>
              </w:rPr>
              <w:t>региональной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образования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етодические материалы, внесенные в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реестр 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>на сайте ИРО</w:t>
            </w:r>
          </w:p>
        </w:tc>
        <w:tc>
          <w:tcPr>
            <w:tcW w:w="5840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 w:rsidR="000B40B4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методических 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 </w:t>
            </w:r>
            <w:r w:rsidR="000B40B4">
              <w:rPr>
                <w:rFonts w:ascii="Times New Roman" w:hAnsi="Times New Roman" w:cs="Times New Roman"/>
                <w:sz w:val="20"/>
                <w:szCs w:val="20"/>
              </w:rPr>
              <w:t xml:space="preserve">за 2022 год 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b/>
                <w:sz w:val="20"/>
                <w:szCs w:val="20"/>
              </w:rPr>
              <w:t>на сайте ИРО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оценивается в 0 баллов</w:t>
            </w:r>
            <w:r w:rsidR="000B40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в реестре более </w:t>
            </w:r>
            <w:r w:rsidR="00C11EF8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C11EF8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методическ</w:t>
            </w:r>
            <w:r w:rsidR="00C11EF8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 w:rsidR="00C11EF8" w:rsidRPr="00271EF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– 1 балл</w:t>
            </w:r>
            <w:r w:rsidR="000B40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40B4" w:rsidRPr="00C145AF" w:rsidRDefault="000B40B4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присылаются в </w:t>
            </w: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письмом </w:t>
            </w:r>
            <w:bookmarkStart w:id="1" w:name="_GoBack"/>
            <w:r w:rsidRPr="00271EF2">
              <w:rPr>
                <w:rFonts w:ascii="Times New Roman" w:hAnsi="Times New Roman" w:cs="Times New Roman"/>
                <w:sz w:val="20"/>
                <w:szCs w:val="20"/>
              </w:rPr>
              <w:t>ИРО №</w:t>
            </w:r>
            <w:r w:rsidR="00271EF2"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 01-20/2190</w:t>
            </w:r>
            <w:r w:rsidRPr="00271EF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71EF2" w:rsidRPr="00271EF2">
              <w:rPr>
                <w:rFonts w:ascii="Times New Roman" w:hAnsi="Times New Roman" w:cs="Times New Roman"/>
                <w:sz w:val="20"/>
                <w:szCs w:val="20"/>
              </w:rPr>
              <w:t>22.04.2022</w:t>
            </w:r>
            <w:bookmarkEnd w:id="1"/>
          </w:p>
        </w:tc>
      </w:tr>
      <w:tr w:rsidR="002F774A" w:rsidRPr="00C145AF" w:rsidTr="00503782">
        <w:tc>
          <w:tcPr>
            <w:tcW w:w="447" w:type="dxa"/>
            <w:vMerge w:val="restart"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6" w:type="dxa"/>
            <w:vMerge w:val="restart"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Организация и результативность участия в профессиональных конкурсах</w:t>
            </w: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6.1. Проведение муниципального этапа конкурса «Учитель года Кубани»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 w:val="restart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о конкурсе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, приказ органов управления образованием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о проведении конкурса, приказ о результатах конкурса</w:t>
            </w:r>
          </w:p>
        </w:tc>
        <w:tc>
          <w:tcPr>
            <w:tcW w:w="5840" w:type="dxa"/>
            <w:vMerge w:val="restart"/>
          </w:tcPr>
          <w:p w:rsidR="002F774A" w:rsidRPr="00C145AF" w:rsidRDefault="008B34BF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>тсутствующий пакет до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кументов оценивается в 0 баллов, неполный пакет документов – в 0,5 балла, полный пакет документов – 1 балл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6.2. Проведение муниципального этапа конкурса «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Учитель года Кубани по кубановедению»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6.3. Проведение муниципального этапа конкурса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«Учитель года Кубани по основам православной культуры»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6.4. Проведение муниципального этапа конкурса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«Воспитатель года Кубани»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center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6.5. Результативность участия в  региональном конкурсе «Директор года»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 w:val="restart"/>
          </w:tcPr>
          <w:p w:rsidR="002F774A" w:rsidRPr="00C145AF" w:rsidRDefault="008B34BF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Данные п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2F774A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образования, науки и молодёжной политики Краснодарского края </w:t>
            </w:r>
          </w:p>
        </w:tc>
        <w:tc>
          <w:tcPr>
            <w:tcW w:w="5840" w:type="dxa"/>
            <w:vMerge w:val="restart"/>
          </w:tcPr>
          <w:p w:rsidR="008B34BF" w:rsidRPr="00C145AF" w:rsidRDefault="008B34BF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выставляется, если представители муниципалитета не участвовали в конкурсе или не заняли призовых мест;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0,5 балла 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>выставляется,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если участник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от муниципалитета, согласно приказа МОНиМП Краснодарского края,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стал призером/лауреатом конкурса;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балл – если участник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муниципалитета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34B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приказа МОНиМП Краснодарского края,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стал победителем конкурса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center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6.6. Результативность участия в  конкурсе «Учитель года Кубани»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center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6.7. Результативность участия в  конкурсе «Учитель года Кубани по кубановедению»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6.8. Результативность участия в  конкурсе «Учитель года Кубани по основам православной культуры»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center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6.9. Результативность участия в  конкурсе «Воспитатель года Кубани»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center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6.10. Результативность участия в  конкурсе «Педагог-психолог Кубани»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center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6.11. Результативность участия в  региональном конкурсе «Учитель здоровья»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center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6.12. Результативность участия в  региональном конкурсе  на присуждение премий лучшим учителям за достижения в педагогической деятельности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center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6.13. Результативность участия в  региональном конкурсе «Педагогический дебют»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center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6.14. Результативность участия в  региональном конкурсе «Учитель-дефектолог»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6.15. Результативность участия в  региональном конкурсе «Сердце отдаю детям»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6.16. Участие в конкурсе «Инновационный поиск»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неучастие ТМС в конкурсе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– участие в конкурсе</w:t>
            </w: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6.17. Участие в конкурсе «Лучшая методическая практика»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 w:val="restart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 ИРО КК</w:t>
            </w:r>
          </w:p>
        </w:tc>
        <w:tc>
          <w:tcPr>
            <w:tcW w:w="5840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неучастие ТМС в конкурсе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– участие в конкурсе</w:t>
            </w: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/>
                <w:sz w:val="20"/>
                <w:szCs w:val="20"/>
              </w:rPr>
            </w:pPr>
            <w:r w:rsidRPr="00C145AF">
              <w:rPr>
                <w:rFonts w:ascii="Times New Roman" w:hAnsi="Times New Roman"/>
                <w:sz w:val="20"/>
                <w:szCs w:val="20"/>
              </w:rPr>
              <w:t>6.18. Участие в конкурсе «Конкурс методических команд»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неучастие ТМС в конкурсе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– участие в конкурсе</w:t>
            </w:r>
          </w:p>
        </w:tc>
      </w:tr>
      <w:tr w:rsidR="002F774A" w:rsidRPr="00C145AF" w:rsidTr="00503782">
        <w:tc>
          <w:tcPr>
            <w:tcW w:w="447" w:type="dxa"/>
            <w:vMerge w:val="restart"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6" w:type="dxa"/>
            <w:vMerge w:val="restart"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актуальным направлениям развития системы образования</w:t>
            </w:r>
          </w:p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7.1. Наличие муниципального проекта или программы повышения профессиональной компетентности педагогов в области организации работы с одаренными детьми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программа, дорожная карта, мониторинг, анализ реализации</w:t>
            </w:r>
          </w:p>
        </w:tc>
        <w:tc>
          <w:tcPr>
            <w:tcW w:w="5840" w:type="dxa"/>
            <w:vMerge w:val="restart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выставляется при наличии полного пакета документов;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 балла – при представлении неполного пакета документов;</w:t>
            </w:r>
          </w:p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при отсутствии документов</w:t>
            </w: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7.2. Наличие муниципального проекта или программы повышения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компетентности педагогов в области организации работы предпрофильной подготовки, профильного обучения и профессиональной ориентации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 или программа, дорожная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карта, мониторинг, анализ реализации</w:t>
            </w: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7.3. Наличие муниципального проекта или программы повышения профессиональной компетентности педагогов в области организации работы проектной и исследовательской деятельности обучающихся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программа, дорожная карта, мониторинг, анализ реализации</w:t>
            </w: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7.4. Наличие муниципального проекта или программы повышения профессиональной компетентности педагогов в области организации работы инклюзивных практик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программа, дорожная карта, мониторинг, анализ реализации</w:t>
            </w: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7.5. Наличие муниципального проекта или программы повышения профессиональной компетентности педагогов в области организации работы цифровизации образовательного процесса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программа, дорожная карта, мониторинг, анализ реализации</w:t>
            </w: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7.6. Наличие Дорожной карты повышения качества образования в школах с низкими результатами обучения и школах, функционирующих в неблагоприятных социальных условиях.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Дорожная карта (с мероприятиями МНЦ и МТКП), мониторинг, анализ реализации</w:t>
            </w: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7.7. Наличие муниципального проекта или программы повышения профессиональной компетентности педагогов в области воспитания обучающихся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программа, дорожная карта, мониторинг, анализ реализации</w:t>
            </w: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4A" w:rsidRPr="00C145AF" w:rsidTr="00503782">
        <w:tc>
          <w:tcPr>
            <w:tcW w:w="447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2F774A" w:rsidRPr="00C145A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7.8. Наличие муниципального проекта или программы повышения профессиональной компетентности педагогов в области формирования функциональной грамотности обучающихся</w:t>
            </w:r>
          </w:p>
        </w:tc>
        <w:tc>
          <w:tcPr>
            <w:tcW w:w="1113" w:type="dxa"/>
          </w:tcPr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2F774A" w:rsidRPr="00C145AF" w:rsidRDefault="002F774A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программа, дорожная карта, мониторинг, анализ реализации</w:t>
            </w:r>
          </w:p>
        </w:tc>
        <w:tc>
          <w:tcPr>
            <w:tcW w:w="5840" w:type="dxa"/>
            <w:vMerge/>
          </w:tcPr>
          <w:p w:rsidR="002F774A" w:rsidRPr="00C145AF" w:rsidRDefault="002F774A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782" w:rsidRPr="00C145AF" w:rsidTr="00503782">
        <w:tc>
          <w:tcPr>
            <w:tcW w:w="447" w:type="dxa"/>
            <w:vMerge w:val="restart"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6" w:type="dxa"/>
            <w:vMerge w:val="restart"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инновационному развитию системы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</w:t>
            </w:r>
            <w:r w:rsidRPr="00C145AF">
              <w:rPr>
                <w:rFonts w:ascii="Times New Roman" w:hAnsi="Times New Roman" w:cs="Times New Roman"/>
                <w:color w:val="373737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8.1. 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действующих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муниципальных инновационных площадок</w:t>
            </w:r>
          </w:p>
        </w:tc>
        <w:tc>
          <w:tcPr>
            <w:tcW w:w="1113" w:type="dxa"/>
          </w:tcPr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0,5</w:t>
            </w:r>
          </w:p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5840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МИП оценивается в 0 баллов;</w:t>
            </w:r>
          </w:p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до трех МИП – в 0,5 балла;</w:t>
            </w:r>
          </w:p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четыре и более МИП – в 1 балл </w:t>
            </w:r>
          </w:p>
        </w:tc>
      </w:tr>
      <w:tr w:rsidR="00503782" w:rsidRPr="00C145AF" w:rsidTr="00503782">
        <w:tc>
          <w:tcPr>
            <w:tcW w:w="447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8.2. 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действующих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краевых инновационных площадок</w:t>
            </w:r>
          </w:p>
        </w:tc>
        <w:tc>
          <w:tcPr>
            <w:tcW w:w="1113" w:type="dxa"/>
          </w:tcPr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0,5</w:t>
            </w:r>
          </w:p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МОНиМП КК</w:t>
            </w:r>
          </w:p>
        </w:tc>
        <w:tc>
          <w:tcPr>
            <w:tcW w:w="5840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КИП оценивается в 0 баллов;</w:t>
            </w:r>
          </w:p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до двух КИП – в 0,5 балла;</w:t>
            </w:r>
          </w:p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три и более КИП – в 1 балл </w:t>
            </w:r>
          </w:p>
        </w:tc>
      </w:tr>
      <w:tr w:rsidR="00503782" w:rsidRPr="00C145AF" w:rsidTr="00503782">
        <w:tc>
          <w:tcPr>
            <w:tcW w:w="447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8.3. 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действующих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федеральных инновационных площадок</w:t>
            </w:r>
          </w:p>
        </w:tc>
        <w:tc>
          <w:tcPr>
            <w:tcW w:w="1113" w:type="dxa"/>
          </w:tcPr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E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11EF8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5840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ФИП оценивается в 0 баллов;</w:t>
            </w:r>
          </w:p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одной и более ФИП – в 1 балл </w:t>
            </w:r>
          </w:p>
        </w:tc>
      </w:tr>
      <w:tr w:rsidR="00503782" w:rsidRPr="00C145AF" w:rsidTr="00503782">
        <w:tc>
          <w:tcPr>
            <w:tcW w:w="447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8.4. Участие  ОО муниципалитета в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федеральных конкурсах на получение субсидий</w:t>
            </w:r>
          </w:p>
        </w:tc>
        <w:tc>
          <w:tcPr>
            <w:tcW w:w="1113" w:type="dxa"/>
          </w:tcPr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Протокол технической экспертизы Министерства просвещения РФ</w:t>
            </w:r>
          </w:p>
        </w:tc>
        <w:tc>
          <w:tcPr>
            <w:tcW w:w="5840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ссылки на протокол </w:t>
            </w:r>
            <w:proofErr w:type="spell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России 1 балл выставляется, если в конкурсах на получение субсидий приняли участие не менее одной ОО.</w:t>
            </w:r>
          </w:p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заявок – 0 баллов</w:t>
            </w:r>
          </w:p>
        </w:tc>
      </w:tr>
      <w:tr w:rsidR="00503782" w:rsidRPr="00C145AF" w:rsidTr="00503782">
        <w:tc>
          <w:tcPr>
            <w:tcW w:w="447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8.5. Наличие  полученных субсидий</w:t>
            </w:r>
          </w:p>
        </w:tc>
        <w:tc>
          <w:tcPr>
            <w:tcW w:w="1113" w:type="dxa"/>
          </w:tcPr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Протокол итоговой экспертизы Министерства просвещения РФ</w:t>
            </w:r>
          </w:p>
        </w:tc>
        <w:tc>
          <w:tcPr>
            <w:tcW w:w="5840" w:type="dxa"/>
          </w:tcPr>
          <w:p w:rsidR="00503782" w:rsidRPr="00C145AF" w:rsidRDefault="00503782" w:rsidP="00682B47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ссылки на протокол </w:t>
            </w:r>
            <w:proofErr w:type="spell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России 1 балл выставляется, если в конкурсах субсидии получили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и более ОО </w:t>
            </w:r>
          </w:p>
          <w:p w:rsidR="00503782" w:rsidRPr="00C145AF" w:rsidRDefault="00503782" w:rsidP="00682B47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полученных субсидий оценивается в 0 баллов</w:t>
            </w:r>
          </w:p>
        </w:tc>
      </w:tr>
      <w:tr w:rsidR="00503782" w:rsidRPr="00C145AF" w:rsidTr="00503782">
        <w:tc>
          <w:tcPr>
            <w:tcW w:w="447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8.6. Наличие статуса КРЦ</w:t>
            </w:r>
          </w:p>
        </w:tc>
        <w:tc>
          <w:tcPr>
            <w:tcW w:w="1113" w:type="dxa"/>
          </w:tcPr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</w:p>
        </w:tc>
        <w:tc>
          <w:tcPr>
            <w:tcW w:w="5840" w:type="dxa"/>
          </w:tcPr>
          <w:p w:rsidR="00503782" w:rsidRPr="00C145AF" w:rsidRDefault="00503782" w:rsidP="00682B47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выставляется, если ТМС не имеет статус</w:t>
            </w:r>
          </w:p>
          <w:p w:rsidR="00503782" w:rsidRPr="00C145AF" w:rsidRDefault="00503782" w:rsidP="00682B47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выставля</w:t>
            </w:r>
            <w:r w:rsidR="00BD31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тся, если ТМС имеет статус</w:t>
            </w:r>
          </w:p>
        </w:tc>
      </w:tr>
      <w:tr w:rsidR="00503782" w:rsidRPr="00C145AF" w:rsidTr="00503782">
        <w:tc>
          <w:tcPr>
            <w:tcW w:w="447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8.7. Наличие статуса КИП</w:t>
            </w:r>
            <w:r w:rsidR="006C1C84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у ТМС/МОУО </w:t>
            </w:r>
          </w:p>
        </w:tc>
        <w:tc>
          <w:tcPr>
            <w:tcW w:w="1113" w:type="dxa"/>
          </w:tcPr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Pr="0057077B">
              <w:rPr>
                <w:rFonts w:ascii="Times New Roman" w:hAnsi="Times New Roman" w:cs="Times New Roman"/>
                <w:sz w:val="20"/>
                <w:szCs w:val="20"/>
              </w:rPr>
              <w:t>/свидетельство</w:t>
            </w:r>
          </w:p>
        </w:tc>
        <w:tc>
          <w:tcPr>
            <w:tcW w:w="5840" w:type="dxa"/>
          </w:tcPr>
          <w:p w:rsidR="00503782" w:rsidRPr="00C145AF" w:rsidRDefault="00503782" w:rsidP="00682B47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выставляется, если ТМС не имеет статус</w:t>
            </w:r>
          </w:p>
          <w:p w:rsidR="00503782" w:rsidRPr="00C145AF" w:rsidRDefault="00503782" w:rsidP="00682B47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выставля</w:t>
            </w:r>
            <w:r w:rsidR="00BD31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тся, если ТМС имеет статус</w:t>
            </w:r>
          </w:p>
        </w:tc>
      </w:tr>
      <w:tr w:rsidR="00503782" w:rsidRPr="00C145AF" w:rsidTr="00503782">
        <w:tc>
          <w:tcPr>
            <w:tcW w:w="447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03782" w:rsidRPr="00C145AF" w:rsidRDefault="00503782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8.8. Наличие статуса ЛСВ</w:t>
            </w:r>
          </w:p>
        </w:tc>
        <w:tc>
          <w:tcPr>
            <w:tcW w:w="1113" w:type="dxa"/>
          </w:tcPr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03782" w:rsidRPr="00C145AF" w:rsidRDefault="00503782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03782" w:rsidRPr="00C145AF" w:rsidRDefault="00503782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Pr="0057077B">
              <w:rPr>
                <w:rFonts w:ascii="Times New Roman" w:hAnsi="Times New Roman" w:cs="Times New Roman"/>
                <w:sz w:val="20"/>
                <w:szCs w:val="20"/>
              </w:rPr>
              <w:t>/свидетельство</w:t>
            </w:r>
          </w:p>
        </w:tc>
        <w:tc>
          <w:tcPr>
            <w:tcW w:w="5840" w:type="dxa"/>
          </w:tcPr>
          <w:p w:rsidR="00503782" w:rsidRPr="00C145AF" w:rsidRDefault="00503782" w:rsidP="00682B47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выставляется, если ТМС не имеет статус</w:t>
            </w:r>
          </w:p>
          <w:p w:rsidR="00503782" w:rsidRPr="00C145AF" w:rsidRDefault="00503782" w:rsidP="00682B47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выставля</w:t>
            </w:r>
            <w:r w:rsidR="00BD31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тся, если ТМС имеет статус</w:t>
            </w:r>
          </w:p>
        </w:tc>
      </w:tr>
      <w:tr w:rsidR="00503782" w:rsidRPr="00C145AF" w:rsidTr="00503782">
        <w:tc>
          <w:tcPr>
            <w:tcW w:w="447" w:type="dxa"/>
            <w:vMerge/>
          </w:tcPr>
          <w:p w:rsidR="00503782" w:rsidRPr="00C145AF" w:rsidRDefault="00503782" w:rsidP="0057077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03782" w:rsidRPr="00C145AF" w:rsidRDefault="00503782" w:rsidP="0057077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57077B">
            <w:pP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9</w:t>
            </w: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. Наличие статуса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МРЦ</w:t>
            </w:r>
          </w:p>
        </w:tc>
        <w:tc>
          <w:tcPr>
            <w:tcW w:w="1113" w:type="dxa"/>
          </w:tcPr>
          <w:p w:rsidR="00503782" w:rsidRPr="00C145AF" w:rsidRDefault="00503782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03782" w:rsidRPr="00C145AF" w:rsidRDefault="00503782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03782" w:rsidRPr="00C145AF" w:rsidRDefault="00503782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Pr="0057077B">
              <w:rPr>
                <w:rFonts w:ascii="Times New Roman" w:hAnsi="Times New Roman" w:cs="Times New Roman"/>
                <w:sz w:val="20"/>
                <w:szCs w:val="20"/>
              </w:rPr>
              <w:t>/свидетельство</w:t>
            </w:r>
          </w:p>
        </w:tc>
        <w:tc>
          <w:tcPr>
            <w:tcW w:w="5840" w:type="dxa"/>
          </w:tcPr>
          <w:p w:rsidR="00503782" w:rsidRPr="00C145AF" w:rsidRDefault="00503782" w:rsidP="0057077B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выставляется, если ТМС не имеет статус</w:t>
            </w:r>
          </w:p>
          <w:p w:rsidR="00503782" w:rsidRPr="00C145AF" w:rsidRDefault="00503782" w:rsidP="0057077B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выставля</w:t>
            </w:r>
            <w:r w:rsidR="00BD31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тся, если ТМС имеет статус</w:t>
            </w:r>
          </w:p>
        </w:tc>
      </w:tr>
      <w:tr w:rsidR="00503782" w:rsidRPr="00C145AF" w:rsidTr="00503782">
        <w:tc>
          <w:tcPr>
            <w:tcW w:w="447" w:type="dxa"/>
            <w:vMerge/>
          </w:tcPr>
          <w:p w:rsidR="00503782" w:rsidRPr="00C145AF" w:rsidRDefault="00503782" w:rsidP="0057077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03782" w:rsidRPr="00C145AF" w:rsidRDefault="00503782" w:rsidP="0057077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57077B">
            <w:pP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10</w:t>
            </w: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. Наличие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действующих </w:t>
            </w:r>
            <w:r w:rsidR="00BD3115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трехсторонних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соглашений о сетевом взаимодействии </w:t>
            </w:r>
            <w:r w:rsidR="00BD3115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ИРО с ТМС – организатором сети и ТМС – участником сети </w:t>
            </w:r>
          </w:p>
        </w:tc>
        <w:tc>
          <w:tcPr>
            <w:tcW w:w="1113" w:type="dxa"/>
          </w:tcPr>
          <w:p w:rsidR="00503782" w:rsidRPr="00C145AF" w:rsidRDefault="00503782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03782" w:rsidRPr="00C145AF" w:rsidRDefault="00503782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03782" w:rsidRPr="00C145AF" w:rsidRDefault="00503782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о сетевом взаимодействии и сотрудничестве </w:t>
            </w:r>
          </w:p>
        </w:tc>
        <w:tc>
          <w:tcPr>
            <w:tcW w:w="5840" w:type="dxa"/>
          </w:tcPr>
          <w:p w:rsidR="00503782" w:rsidRPr="00C145AF" w:rsidRDefault="00503782" w:rsidP="0057077B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баллов выставляется, если ТМС не имеет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соглашений</w:t>
            </w:r>
          </w:p>
          <w:p w:rsidR="00503782" w:rsidRPr="00C145AF" w:rsidRDefault="00503782" w:rsidP="0057077B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выставля</w:t>
            </w:r>
            <w:r w:rsidR="00BD31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тся, если ТМС имеет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действующие на 01.12.2022 г. соглашения </w:t>
            </w:r>
          </w:p>
        </w:tc>
      </w:tr>
      <w:tr w:rsidR="00503782" w:rsidRPr="00C145AF" w:rsidTr="00503782">
        <w:tc>
          <w:tcPr>
            <w:tcW w:w="447" w:type="dxa"/>
            <w:vMerge/>
          </w:tcPr>
          <w:p w:rsidR="00503782" w:rsidRPr="00C145AF" w:rsidRDefault="00503782" w:rsidP="0057077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03782" w:rsidRPr="00C145AF" w:rsidRDefault="00503782" w:rsidP="0057077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03782" w:rsidRPr="00C145AF" w:rsidRDefault="00503782" w:rsidP="0057077B">
            <w:pP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11</w:t>
            </w: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. Наличие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статуса участника сети </w:t>
            </w:r>
          </w:p>
        </w:tc>
        <w:tc>
          <w:tcPr>
            <w:tcW w:w="1113" w:type="dxa"/>
          </w:tcPr>
          <w:p w:rsidR="00503782" w:rsidRDefault="00503782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03782" w:rsidRPr="00C145AF" w:rsidRDefault="00503782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0,5</w:t>
            </w:r>
          </w:p>
          <w:p w:rsidR="00503782" w:rsidRPr="00C145AF" w:rsidRDefault="00503782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03782" w:rsidRPr="00C145AF" w:rsidRDefault="00503782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УО о согласии на вступление в сеть (МРЦ, КРЦ, ЛСВ)</w:t>
            </w:r>
          </w:p>
        </w:tc>
        <w:tc>
          <w:tcPr>
            <w:tcW w:w="5840" w:type="dxa"/>
          </w:tcPr>
          <w:p w:rsidR="00503782" w:rsidRDefault="00503782" w:rsidP="0057077B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баллов выставляется, если ТМС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является участником сети </w:t>
            </w:r>
          </w:p>
          <w:p w:rsidR="00503782" w:rsidRDefault="00503782" w:rsidP="0057077B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 баллов </w:t>
            </w:r>
            <w:r w:rsidRPr="00503782">
              <w:rPr>
                <w:rFonts w:ascii="Times New Roman" w:hAnsi="Times New Roman" w:cs="Times New Roman"/>
                <w:sz w:val="20"/>
                <w:szCs w:val="20"/>
              </w:rPr>
              <w:t xml:space="preserve">выставляется, если ТМС является участником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503782">
              <w:rPr>
                <w:rFonts w:ascii="Times New Roman" w:hAnsi="Times New Roman" w:cs="Times New Roman"/>
                <w:sz w:val="20"/>
                <w:szCs w:val="20"/>
              </w:rPr>
              <w:t>сет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  <w:p w:rsidR="00503782" w:rsidRPr="00C145AF" w:rsidRDefault="00503782" w:rsidP="0057077B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выставля</w:t>
            </w:r>
            <w:r w:rsidR="00BD31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тся, если </w:t>
            </w:r>
            <w:r w:rsidRPr="00503782">
              <w:rPr>
                <w:rFonts w:ascii="Times New Roman" w:hAnsi="Times New Roman" w:cs="Times New Roman"/>
                <w:sz w:val="20"/>
                <w:szCs w:val="20"/>
              </w:rPr>
              <w:t xml:space="preserve">ТМС является участником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03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более </w:t>
            </w:r>
            <w:r w:rsidRPr="00503782"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</w:p>
        </w:tc>
      </w:tr>
      <w:tr w:rsidR="0057077B" w:rsidRPr="00C145AF" w:rsidTr="00503782">
        <w:tc>
          <w:tcPr>
            <w:tcW w:w="447" w:type="dxa"/>
          </w:tcPr>
          <w:p w:rsidR="0057077B" w:rsidRPr="00C145AF" w:rsidRDefault="0057077B" w:rsidP="0057077B">
            <w:pPr>
              <w:ind w:hanging="24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744" w:type="dxa"/>
            <w:gridSpan w:val="5"/>
          </w:tcPr>
          <w:p w:rsidR="0057077B" w:rsidRPr="00C145AF" w:rsidRDefault="0057077B" w:rsidP="0057077B">
            <w:pPr>
              <w:ind w:hanging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Направление: поддержка молодых педагогов и реализация программ наставничества</w:t>
            </w:r>
          </w:p>
        </w:tc>
      </w:tr>
      <w:tr w:rsidR="0057077B" w:rsidRPr="00C145AF" w:rsidTr="00503782">
        <w:tc>
          <w:tcPr>
            <w:tcW w:w="447" w:type="dxa"/>
            <w:vMerge w:val="restart"/>
          </w:tcPr>
          <w:p w:rsidR="0057077B" w:rsidRPr="00C145AF" w:rsidRDefault="0057077B" w:rsidP="0057077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6" w:type="dxa"/>
            <w:vMerge w:val="restart"/>
          </w:tcPr>
          <w:p w:rsidR="0057077B" w:rsidRPr="00C145AF" w:rsidRDefault="0057077B" w:rsidP="0057077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Изучение состояния адаптации молодых педагогов в специфике профессиональной деятельности</w:t>
            </w: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9.1. Наличие муниципального мониторинга адаптации молодых педагогов к профессиональной деятельности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5840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Размещение на сайте описания мониторинга (цели, показатели, методы сбора данных, регламент проведения, модель свода данных) оценивается в 1 балл.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мониторинга – 0 баллов</w:t>
            </w: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9.2. Наличие анализа проведения мониторинга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Анализ проведения мониторинга</w:t>
            </w:r>
          </w:p>
        </w:tc>
        <w:tc>
          <w:tcPr>
            <w:tcW w:w="5840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аналитического отчета по результатам проведения мониторинга оценивается в 1 балл.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аналитического отчета – 0 баллов</w:t>
            </w:r>
          </w:p>
        </w:tc>
      </w:tr>
      <w:tr w:rsidR="0057077B" w:rsidRPr="00C145AF" w:rsidTr="00503782">
        <w:tc>
          <w:tcPr>
            <w:tcW w:w="447" w:type="dxa"/>
            <w:vMerge w:val="restart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26" w:type="dxa"/>
            <w:vMerge w:val="restart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Активное участие молодых педагогов в деятельности ассоциации</w:t>
            </w: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10.1. Наличие муниципального плана-графика работы с молодыми педагогами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</w:t>
            </w:r>
          </w:p>
        </w:tc>
        <w:tc>
          <w:tcPr>
            <w:tcW w:w="5840" w:type="dxa"/>
          </w:tcPr>
          <w:p w:rsidR="00503782" w:rsidRDefault="0057077B" w:rsidP="00503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на сайте плана-графика оценивается в 1 балл</w:t>
            </w:r>
            <w:r w:rsidR="00503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(указаны сроки / формы работы / ответственные или др.) </w:t>
            </w:r>
          </w:p>
          <w:p w:rsidR="0057077B" w:rsidRPr="00C145AF" w:rsidRDefault="0057077B" w:rsidP="00503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плана-графика оценивается в 0 баллов</w:t>
            </w: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10.2. Наличие муниципального анализа выполнения плана-графика работы с молодыми педагогами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по результатам выполнения плана-графика</w:t>
            </w:r>
          </w:p>
        </w:tc>
        <w:tc>
          <w:tcPr>
            <w:tcW w:w="5840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аналитической справки по результатам выполнения плана-графика оценивается в 1 балл.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аналитической справки – 0 баллов</w:t>
            </w:r>
          </w:p>
        </w:tc>
      </w:tr>
      <w:tr w:rsidR="0057077B" w:rsidRPr="00C145AF" w:rsidTr="00503782">
        <w:tc>
          <w:tcPr>
            <w:tcW w:w="447" w:type="dxa"/>
            <w:vMerge w:val="restart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6" w:type="dxa"/>
            <w:vMerge w:val="restart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Обеспечение наставничества</w:t>
            </w: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11.1. Наличие муниципальной программы / дорожной карты работы педагогов-наставников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/ дорожная карта</w:t>
            </w:r>
          </w:p>
        </w:tc>
        <w:tc>
          <w:tcPr>
            <w:tcW w:w="5840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на сайте муниципальной программы / дорожной карты работы педагогов-наставников оценивается в 1 балл.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муниципальной программы / дорожной карты работы педагогов-наставников оценивается в 0 баллов</w:t>
            </w: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11.2. Наличие анализа реализации  муниципальной программы/дорожной карты работы педагогов-наставников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Аналитический отчет о результатах реализации 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программы/дорожной карты работы педагогов-наставников</w:t>
            </w:r>
          </w:p>
        </w:tc>
        <w:tc>
          <w:tcPr>
            <w:tcW w:w="5840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аналитического отчета оценивается в 1 балл.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аналитического отчета – 0 баллов</w:t>
            </w:r>
          </w:p>
        </w:tc>
      </w:tr>
      <w:tr w:rsidR="0057077B" w:rsidRPr="00C145AF" w:rsidTr="00503782">
        <w:tc>
          <w:tcPr>
            <w:tcW w:w="447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744" w:type="dxa"/>
            <w:gridSpan w:val="5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Направление: развитие и поддержка школьных методических объединений</w:t>
            </w:r>
          </w:p>
        </w:tc>
      </w:tr>
      <w:tr w:rsidR="0057077B" w:rsidRPr="00C145AF" w:rsidTr="00503782">
        <w:trPr>
          <w:trHeight w:val="759"/>
        </w:trPr>
        <w:tc>
          <w:tcPr>
            <w:tcW w:w="447" w:type="dxa"/>
            <w:vMerge w:val="restart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6" w:type="dxa"/>
            <w:vMerge w:val="restart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Сопровождение методических объединений учителей</w:t>
            </w: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12.1. Наличие муниципальной программы/дорожной карты по развитию и сопровождению школьных методических объединений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5840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 сайте муниципальной программы / дорожной карты по развитию и сопровождению школьных методических объединений оценивается в 1 балл. 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муниципальной программы / дорожной карты оценивается в 0 баллов</w:t>
            </w: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12.2. Наличие плана-графика заседаний РМО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</w:t>
            </w:r>
          </w:p>
        </w:tc>
        <w:tc>
          <w:tcPr>
            <w:tcW w:w="5840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 сайте плана-графика оценивается в 1 балл. 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плана-графика оценивается в 0 баллов</w:t>
            </w: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12.3.Наличие анализа выполнения плана-графика заседаний РМО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по результатам выполнения плана-графика</w:t>
            </w:r>
          </w:p>
        </w:tc>
        <w:tc>
          <w:tcPr>
            <w:tcW w:w="5840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аналитической справки по результатам выполнения плана-графика оценивается в 1 балл.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аналитической справки – 0 баллов</w:t>
            </w:r>
          </w:p>
        </w:tc>
      </w:tr>
      <w:tr w:rsidR="0057077B" w:rsidRPr="00C145AF" w:rsidTr="00503782">
        <w:tc>
          <w:tcPr>
            <w:tcW w:w="447" w:type="dxa"/>
            <w:vMerge w:val="restart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26" w:type="dxa"/>
            <w:vMerge w:val="restart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Включение в практико-ориентированную деятельность</w:t>
            </w: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13.1. Наличие мониторинга деятельности школьных методических служб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Мониторинг, анализ проведения мониторинга</w:t>
            </w:r>
          </w:p>
        </w:tc>
        <w:tc>
          <w:tcPr>
            <w:tcW w:w="5840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По ссылке на сайт ТМС эксперты должны увидеть </w:t>
            </w:r>
          </w:p>
          <w:p w:rsidR="0057077B" w:rsidRPr="00C145AF" w:rsidRDefault="0057077B" w:rsidP="0057077B">
            <w:pPr>
              <w:pStyle w:val="a4"/>
              <w:numPr>
                <w:ilvl w:val="0"/>
                <w:numId w:val="15"/>
              </w:numPr>
              <w:ind w:left="13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мониторинга </w:t>
            </w:r>
          </w:p>
          <w:p w:rsidR="0057077B" w:rsidRPr="00C145AF" w:rsidRDefault="0057077B" w:rsidP="0057077B">
            <w:pPr>
              <w:pStyle w:val="a4"/>
              <w:numPr>
                <w:ilvl w:val="0"/>
                <w:numId w:val="15"/>
              </w:numPr>
              <w:ind w:left="13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аналитическую справку или отчет о результатах мониторинга в 202</w:t>
            </w:r>
            <w:r w:rsidR="005037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Незаполненный раздел оценивается в 0 баллов.</w:t>
            </w: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13.2. Наличие ежемесячных методических семинаров для директоров школ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 w:val="restart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План-график ежемесячных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методических семинаров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 w:val="restart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на сайте плана-графика оценивается в 1 балл. </w:t>
            </w:r>
          </w:p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плана-графика оценивается в 0 баллов</w:t>
            </w: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13.3. Наличие ежемесячных методических семинаров для </w:t>
            </w:r>
            <w:proofErr w:type="spell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директоров</w:t>
            </w:r>
            <w:proofErr w:type="spell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школ по учебно-методической работе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13.4. Наличие ежемесячных методических семинаров для 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директоров школ  по воспитательной работе, для педагогов-психологов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13.5. Наличие ежемесячных методических семинаров для предметных педагогов-тьюторов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13.6. Наличие ежемесячных методических семинаров для руководителей школьных методических объединений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77B" w:rsidRPr="00C145AF" w:rsidTr="00503782">
        <w:tc>
          <w:tcPr>
            <w:tcW w:w="44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13.7. Наличие ежемесячных методических семинаров для социальных педагогов</w:t>
            </w:r>
          </w:p>
        </w:tc>
        <w:tc>
          <w:tcPr>
            <w:tcW w:w="1113" w:type="dxa"/>
          </w:tcPr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7077B" w:rsidRPr="00C145AF" w:rsidRDefault="0057077B" w:rsidP="00570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7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0" w:type="dxa"/>
            <w:vMerge/>
          </w:tcPr>
          <w:p w:rsidR="0057077B" w:rsidRPr="00C145AF" w:rsidRDefault="0057077B" w:rsidP="0057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638E" w:rsidRPr="00C145AF" w:rsidRDefault="00D9638E" w:rsidP="00682B47">
      <w:pPr>
        <w:shd w:val="clear" w:color="auto" w:fill="FFFFFF"/>
        <w:spacing w:line="240" w:lineRule="auto"/>
        <w:ind w:left="113"/>
        <w:jc w:val="center"/>
        <w:rPr>
          <w:rFonts w:ascii="Times New Roman" w:hAnsi="Times New Roman" w:cs="Times New Roman"/>
          <w:sz w:val="20"/>
          <w:szCs w:val="20"/>
        </w:rPr>
      </w:pPr>
    </w:p>
    <w:p w:rsidR="00BB123A" w:rsidRPr="00C145AF" w:rsidRDefault="00BB123A" w:rsidP="00682B47">
      <w:pPr>
        <w:shd w:val="clear" w:color="auto" w:fill="FFFFFF"/>
        <w:spacing w:line="240" w:lineRule="auto"/>
        <w:ind w:left="113"/>
        <w:jc w:val="center"/>
        <w:rPr>
          <w:rFonts w:ascii="Times New Roman" w:hAnsi="Times New Roman" w:cs="Times New Roman"/>
          <w:sz w:val="20"/>
          <w:szCs w:val="20"/>
        </w:rPr>
      </w:pPr>
    </w:p>
    <w:p w:rsidR="007227D4" w:rsidRPr="00C145AF" w:rsidRDefault="007227D4" w:rsidP="00682B47">
      <w:pPr>
        <w:shd w:val="clear" w:color="auto" w:fill="FFFFFF"/>
        <w:spacing w:line="240" w:lineRule="auto"/>
        <w:ind w:left="113"/>
        <w:jc w:val="right"/>
        <w:rPr>
          <w:rFonts w:ascii="Times New Roman" w:hAnsi="Times New Roman" w:cs="Times New Roman"/>
          <w:bCs/>
          <w:sz w:val="20"/>
          <w:szCs w:val="20"/>
        </w:rPr>
      </w:pPr>
    </w:p>
    <w:sectPr w:rsidR="007227D4" w:rsidRPr="00C145AF" w:rsidSect="002F774A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67B6"/>
    <w:multiLevelType w:val="hybridMultilevel"/>
    <w:tmpl w:val="01AA470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86068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D34"/>
    <w:multiLevelType w:val="hybridMultilevel"/>
    <w:tmpl w:val="C62E5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7D7F"/>
    <w:multiLevelType w:val="hybridMultilevel"/>
    <w:tmpl w:val="775E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857E6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2E07"/>
    <w:multiLevelType w:val="hybridMultilevel"/>
    <w:tmpl w:val="0290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6C50B7"/>
    <w:multiLevelType w:val="hybridMultilevel"/>
    <w:tmpl w:val="5F98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74845"/>
    <w:multiLevelType w:val="hybridMultilevel"/>
    <w:tmpl w:val="8B5CBB5E"/>
    <w:lvl w:ilvl="0" w:tplc="A3907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677817"/>
    <w:multiLevelType w:val="hybridMultilevel"/>
    <w:tmpl w:val="CADC0818"/>
    <w:lvl w:ilvl="0" w:tplc="E318A9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C16D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BE6087"/>
    <w:multiLevelType w:val="hybridMultilevel"/>
    <w:tmpl w:val="AEF2EC3A"/>
    <w:lvl w:ilvl="0" w:tplc="32BE3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7323"/>
    <w:multiLevelType w:val="hybridMultilevel"/>
    <w:tmpl w:val="AC20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01FAB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1420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559CC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865BC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E94079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31B7E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C34F9"/>
    <w:multiLevelType w:val="hybridMultilevel"/>
    <w:tmpl w:val="F826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42297"/>
    <w:multiLevelType w:val="hybridMultilevel"/>
    <w:tmpl w:val="6BBEF8A6"/>
    <w:lvl w:ilvl="0" w:tplc="32BE33F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6"/>
  </w:num>
  <w:num w:numId="5">
    <w:abstractNumId w:val="15"/>
  </w:num>
  <w:num w:numId="6">
    <w:abstractNumId w:val="8"/>
  </w:num>
  <w:num w:numId="7">
    <w:abstractNumId w:val="4"/>
  </w:num>
  <w:num w:numId="8">
    <w:abstractNumId w:val="3"/>
  </w:num>
  <w:num w:numId="9">
    <w:abstractNumId w:val="20"/>
  </w:num>
  <w:num w:numId="10">
    <w:abstractNumId w:val="19"/>
  </w:num>
  <w:num w:numId="11">
    <w:abstractNumId w:val="14"/>
  </w:num>
  <w:num w:numId="12">
    <w:abstractNumId w:val="5"/>
  </w:num>
  <w:num w:numId="13">
    <w:abstractNumId w:val="6"/>
  </w:num>
  <w:num w:numId="14">
    <w:abstractNumId w:val="2"/>
  </w:num>
  <w:num w:numId="15">
    <w:abstractNumId w:val="21"/>
  </w:num>
  <w:num w:numId="16">
    <w:abstractNumId w:val="10"/>
  </w:num>
  <w:num w:numId="17">
    <w:abstractNumId w:val="11"/>
  </w:num>
  <w:num w:numId="18">
    <w:abstractNumId w:val="17"/>
  </w:num>
  <w:num w:numId="19">
    <w:abstractNumId w:val="12"/>
  </w:num>
  <w:num w:numId="20">
    <w:abstractNumId w:val="7"/>
  </w:num>
  <w:num w:numId="21">
    <w:abstractNumId w:val="1"/>
  </w:num>
  <w:num w:numId="22">
    <w:abstractNumId w:val="18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58"/>
    <w:rsid w:val="00061CEC"/>
    <w:rsid w:val="000632CB"/>
    <w:rsid w:val="000710AB"/>
    <w:rsid w:val="000769B2"/>
    <w:rsid w:val="00084EE6"/>
    <w:rsid w:val="000B40B4"/>
    <w:rsid w:val="000B509B"/>
    <w:rsid w:val="000C5500"/>
    <w:rsid w:val="001179E4"/>
    <w:rsid w:val="00135F66"/>
    <w:rsid w:val="001470E1"/>
    <w:rsid w:val="0016624E"/>
    <w:rsid w:val="0017089B"/>
    <w:rsid w:val="001907F0"/>
    <w:rsid w:val="001A224C"/>
    <w:rsid w:val="001B2558"/>
    <w:rsid w:val="001D0F15"/>
    <w:rsid w:val="001D1FF8"/>
    <w:rsid w:val="001F16B1"/>
    <w:rsid w:val="001F3769"/>
    <w:rsid w:val="00217C0E"/>
    <w:rsid w:val="00217FB3"/>
    <w:rsid w:val="0023393F"/>
    <w:rsid w:val="002514F6"/>
    <w:rsid w:val="00262A17"/>
    <w:rsid w:val="00271EF2"/>
    <w:rsid w:val="002803F3"/>
    <w:rsid w:val="0028775E"/>
    <w:rsid w:val="002E17D7"/>
    <w:rsid w:val="002F05B5"/>
    <w:rsid w:val="002F774A"/>
    <w:rsid w:val="003535C0"/>
    <w:rsid w:val="00356772"/>
    <w:rsid w:val="003D0465"/>
    <w:rsid w:val="00402FE4"/>
    <w:rsid w:val="00417D63"/>
    <w:rsid w:val="00450AF9"/>
    <w:rsid w:val="00465299"/>
    <w:rsid w:val="00491ECF"/>
    <w:rsid w:val="004D5190"/>
    <w:rsid w:val="004F3BB3"/>
    <w:rsid w:val="00503782"/>
    <w:rsid w:val="00517501"/>
    <w:rsid w:val="00555230"/>
    <w:rsid w:val="00564185"/>
    <w:rsid w:val="0057077B"/>
    <w:rsid w:val="00591514"/>
    <w:rsid w:val="005E119D"/>
    <w:rsid w:val="006063AD"/>
    <w:rsid w:val="0061733C"/>
    <w:rsid w:val="00682B47"/>
    <w:rsid w:val="00685630"/>
    <w:rsid w:val="006A029A"/>
    <w:rsid w:val="006A0E0A"/>
    <w:rsid w:val="006B70B8"/>
    <w:rsid w:val="006C1C84"/>
    <w:rsid w:val="006F39A2"/>
    <w:rsid w:val="007227D4"/>
    <w:rsid w:val="007500BB"/>
    <w:rsid w:val="00776187"/>
    <w:rsid w:val="007C70C8"/>
    <w:rsid w:val="007D7CF0"/>
    <w:rsid w:val="007E020D"/>
    <w:rsid w:val="008350B1"/>
    <w:rsid w:val="0084738A"/>
    <w:rsid w:val="00855D85"/>
    <w:rsid w:val="00861CAA"/>
    <w:rsid w:val="008643FC"/>
    <w:rsid w:val="008755C4"/>
    <w:rsid w:val="008B2B8B"/>
    <w:rsid w:val="008B34BF"/>
    <w:rsid w:val="008F2C68"/>
    <w:rsid w:val="00900F23"/>
    <w:rsid w:val="00902DFF"/>
    <w:rsid w:val="009228B4"/>
    <w:rsid w:val="009355F8"/>
    <w:rsid w:val="00945D43"/>
    <w:rsid w:val="00962C1C"/>
    <w:rsid w:val="00964A53"/>
    <w:rsid w:val="009A1D7E"/>
    <w:rsid w:val="009B0BA2"/>
    <w:rsid w:val="00A32324"/>
    <w:rsid w:val="00A4451E"/>
    <w:rsid w:val="00AA15AB"/>
    <w:rsid w:val="00AA2C21"/>
    <w:rsid w:val="00AA6EF0"/>
    <w:rsid w:val="00AB6CA7"/>
    <w:rsid w:val="00AD332C"/>
    <w:rsid w:val="00AF3087"/>
    <w:rsid w:val="00B44CAD"/>
    <w:rsid w:val="00B91D0F"/>
    <w:rsid w:val="00BA52AF"/>
    <w:rsid w:val="00BB123A"/>
    <w:rsid w:val="00BC223B"/>
    <w:rsid w:val="00BC7765"/>
    <w:rsid w:val="00BD3115"/>
    <w:rsid w:val="00BD5B9A"/>
    <w:rsid w:val="00C00721"/>
    <w:rsid w:val="00C11EF8"/>
    <w:rsid w:val="00C145AF"/>
    <w:rsid w:val="00C4099D"/>
    <w:rsid w:val="00C5471A"/>
    <w:rsid w:val="00C75331"/>
    <w:rsid w:val="00CD5B04"/>
    <w:rsid w:val="00CE2E89"/>
    <w:rsid w:val="00D0600C"/>
    <w:rsid w:val="00D24733"/>
    <w:rsid w:val="00D8213D"/>
    <w:rsid w:val="00D9638E"/>
    <w:rsid w:val="00D96832"/>
    <w:rsid w:val="00DE7223"/>
    <w:rsid w:val="00E044A9"/>
    <w:rsid w:val="00E241CD"/>
    <w:rsid w:val="00E3439A"/>
    <w:rsid w:val="00E44C3B"/>
    <w:rsid w:val="00E7259C"/>
    <w:rsid w:val="00E81C3E"/>
    <w:rsid w:val="00EA400F"/>
    <w:rsid w:val="00EA498D"/>
    <w:rsid w:val="00EA5D6B"/>
    <w:rsid w:val="00ED1352"/>
    <w:rsid w:val="00ED1F74"/>
    <w:rsid w:val="00ED54BC"/>
    <w:rsid w:val="00F21F81"/>
    <w:rsid w:val="00F410BC"/>
    <w:rsid w:val="00F63279"/>
    <w:rsid w:val="00F72219"/>
    <w:rsid w:val="00F75D3D"/>
    <w:rsid w:val="00F8027F"/>
    <w:rsid w:val="00FB1F96"/>
    <w:rsid w:val="00FD3D8F"/>
    <w:rsid w:val="00FE1204"/>
    <w:rsid w:val="00FE7B66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BB37"/>
  <w15:chartTrackingRefBased/>
  <w15:docId w15:val="{784E3758-2F9D-4855-9262-E2B110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2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2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72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6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44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1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B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B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70B8"/>
  </w:style>
  <w:style w:type="paragraph" w:styleId="ab">
    <w:name w:val="footer"/>
    <w:basedOn w:val="a"/>
    <w:link w:val="ac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70B8"/>
  </w:style>
  <w:style w:type="paragraph" w:styleId="ad">
    <w:name w:val="No Spacing"/>
    <w:uiPriority w:val="1"/>
    <w:qFormat/>
    <w:rsid w:val="00D963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uiPriority w:val="39"/>
    <w:rsid w:val="00FF435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CA54-C505-4C9E-B473-489FD672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7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Бубнова</dc:creator>
  <cp:keywords/>
  <dc:description/>
  <cp:lastModifiedBy>Екатерина С. Бухтияр</cp:lastModifiedBy>
  <cp:revision>44</cp:revision>
  <cp:lastPrinted>2023-01-10T08:27:00Z</cp:lastPrinted>
  <dcterms:created xsi:type="dcterms:W3CDTF">2019-10-24T13:48:00Z</dcterms:created>
  <dcterms:modified xsi:type="dcterms:W3CDTF">2023-01-16T07:16:00Z</dcterms:modified>
</cp:coreProperties>
</file>