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13E" w:rsidRDefault="00E355D9">
      <w:pPr>
        <w:pStyle w:val="a9"/>
        <w:spacing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Касаткина А.И.</w:t>
      </w:r>
    </w:p>
    <w:p w:rsidR="00AE513E" w:rsidRDefault="00E355D9">
      <w:pPr>
        <w:pStyle w:val="a9"/>
        <w:spacing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МБОУ МО ГК СОШ № 10 </w:t>
      </w:r>
    </w:p>
    <w:p w:rsidR="00AE513E" w:rsidRDefault="00E355D9">
      <w:pPr>
        <w:pStyle w:val="a9"/>
        <w:spacing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г. </w:t>
      </w:r>
      <w:bookmarkStart w:id="0" w:name="_GoBack"/>
      <w:bookmarkEnd w:id="0"/>
      <w:r>
        <w:rPr>
          <w:sz w:val="28"/>
          <w:szCs w:val="28"/>
        </w:rPr>
        <w:t>Горячий Ключ</w:t>
      </w:r>
    </w:p>
    <w:p w:rsidR="00AE513E" w:rsidRDefault="00E355D9">
      <w:pPr>
        <w:pStyle w:val="a9"/>
        <w:spacing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как средство обеспечения качества образования предполагает вовлеченность в оценочную деятельность не только педагогов, но и </w:t>
      </w:r>
      <w:r>
        <w:rPr>
          <w:i/>
          <w:iCs/>
          <w:sz w:val="28"/>
          <w:szCs w:val="28"/>
        </w:rPr>
        <w:t>самих учащихся с ОВЗ. </w:t>
      </w:r>
      <w:r>
        <w:rPr>
          <w:sz w:val="28"/>
          <w:szCs w:val="28"/>
        </w:rPr>
        <w:t>Оценка не только дает возможность учащимся с ОВЗ</w:t>
      </w:r>
      <w:r>
        <w:rPr>
          <w:sz w:val="28"/>
          <w:szCs w:val="28"/>
        </w:rPr>
        <w:t xml:space="preserve"> освоить элементарные эффективные средства управления своей учебной деятельностью, но и способствует развитию самосознания, готовность выражать свою позицию, развитию готовности к самостоятельным поступкам и действиям.</w:t>
      </w:r>
    </w:p>
    <w:p w:rsidR="00AE513E" w:rsidRDefault="00E355D9">
      <w:pPr>
        <w:spacing w:after="0"/>
        <w:ind w:firstLine="709"/>
        <w:jc w:val="both"/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Оценивание – это и процесс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 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результ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помогает 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учащимся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увидеть сильные и слабые стороны выполняемой работы на уроке, вовремя скорректировать ее для достижения наилучшего 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результата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Результат оценивания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– личностный рост ученика с ОВЗ и достигнутое им индивидуальное качество знани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и уровень обученности.</w:t>
      </w:r>
    </w:p>
    <w:p w:rsidR="00AE513E" w:rsidRDefault="00E35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Формирующее оценивание – это оцени</w:t>
      </w:r>
      <w:r>
        <w:rPr>
          <w:rFonts w:ascii="Times New Roman" w:hAnsi="Times New Roman" w:cs="Times New Roman"/>
          <w:sz w:val="28"/>
          <w:szCs w:val="28"/>
        </w:rPr>
        <w:t xml:space="preserve">вание в процессе обучения, когда анализируются знания, умения, ценностные установки и оценка, а также поведение учащегося, устанавливается обратная связь учитель – ученик. Формирующее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оценивание  к</w:t>
      </w:r>
      <w:r>
        <w:rPr>
          <w:rFonts w:ascii="Times New Roman" w:hAnsi="Times New Roman" w:cs="Times New Roman"/>
          <w:sz w:val="28"/>
          <w:szCs w:val="28"/>
        </w:rPr>
        <w:t>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повседневное оценивание нацеливает учителя на определение индивидуальных достижений учеником каждого элемента содержания образования и служит обратной связью позволяя модифицировать процесс преподавания и обучения, чтобы сделать его максимально эффектив</w:t>
      </w:r>
      <w:r>
        <w:rPr>
          <w:rFonts w:ascii="Times New Roman" w:hAnsi="Times New Roman" w:cs="Times New Roman"/>
          <w:sz w:val="28"/>
          <w:szCs w:val="28"/>
        </w:rPr>
        <w:t>ным, а также обладает коррекционно-развивающим потенциалом. При этом коррекционно-развивающая деятельность учителя понимается нами как составная часть основного образовательного процесса, деятельность, способствующая эффективному развитию ребенка, восполня</w:t>
      </w:r>
      <w:r>
        <w:rPr>
          <w:rFonts w:ascii="Times New Roman" w:hAnsi="Times New Roman" w:cs="Times New Roman"/>
          <w:sz w:val="28"/>
          <w:szCs w:val="28"/>
        </w:rPr>
        <w:t>ющая пробелы в обучении и способствующая раскрытию и реализации способностей ребенка в различных сферах. Коррекционно-развивающая деятельность педагога в начальной школе рассматривается как одно из наиболее значимых направлений, поскольку на начальном этап</w:t>
      </w:r>
      <w:r>
        <w:rPr>
          <w:rFonts w:ascii="Times New Roman" w:hAnsi="Times New Roman" w:cs="Times New Roman"/>
          <w:sz w:val="28"/>
          <w:szCs w:val="28"/>
        </w:rPr>
        <w:t>е освоения учебной деятельности особенно важно сформировать основы учебных умений, основы умственных действий ребенка. Поэтому формирующее оценивание позволяет диагностировать достижения учеников, выявлять существующие трудности младших школьников и коррек</w:t>
      </w:r>
      <w:r>
        <w:rPr>
          <w:rFonts w:ascii="Times New Roman" w:hAnsi="Times New Roman" w:cs="Times New Roman"/>
          <w:sz w:val="28"/>
          <w:szCs w:val="28"/>
        </w:rPr>
        <w:t>тировать процесс обучения с целью максимального развития каждого ученика.</w:t>
      </w:r>
    </w:p>
    <w:p w:rsidR="00AE513E" w:rsidRDefault="00E35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Инструментом, учитывающим психологические особенности детей младшего школьного возраста, является использование символов. Игровая, знаковая и цветовая символика, например: светофоры</w:t>
      </w:r>
      <w:r>
        <w:rPr>
          <w:rFonts w:ascii="Times New Roman" w:hAnsi="Times New Roman" w:cs="Times New Roman"/>
          <w:sz w:val="28"/>
          <w:szCs w:val="28"/>
        </w:rPr>
        <w:t xml:space="preserve">, смайлики, цветовые дорожки, цветные листья на дереве. Символы в практике формирующего оценивания используют чаще всего в коррекционно-развивающей деятельности учителя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целью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контрольнооценочных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детей для оценки эмоционального отноше</w:t>
      </w:r>
      <w:r>
        <w:rPr>
          <w:rFonts w:ascii="Times New Roman" w:hAnsi="Times New Roman" w:cs="Times New Roman"/>
          <w:sz w:val="28"/>
          <w:szCs w:val="28"/>
        </w:rPr>
        <w:t xml:space="preserve">ния младших школьников к выполняемой работе. В формирующем оценивании важна содержательная оценка деятельности, для выполнения которой применяются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различные игровые инструменты, позволяющие дифференцировать учебные действия и операции (планируемые результа</w:t>
      </w:r>
      <w:r>
        <w:rPr>
          <w:rFonts w:ascii="Times New Roman" w:hAnsi="Times New Roman" w:cs="Times New Roman"/>
          <w:sz w:val="28"/>
          <w:szCs w:val="28"/>
        </w:rPr>
        <w:t xml:space="preserve">ты) учащихся с ОВЗ. Сходство с игровыми инструментами оценки имеют лесенки достижений. Игровой момент в данном инструменте также предусмотрен (нарисовать себя на первой, второй или третьей ступеньке),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кроме этого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лесенка позволяет ориентировать детей на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степени сформированности умений, необходимых для выполнения какого-либо учебного действия. Иными словами, этот инструмент формирует не столько эмоциональную, сколько содержательную оценку, то есть рефлексивные умения. В лесенке достижений може</w:t>
      </w:r>
      <w:r>
        <w:rPr>
          <w:rFonts w:ascii="Times New Roman" w:hAnsi="Times New Roman" w:cs="Times New Roman"/>
          <w:sz w:val="28"/>
          <w:szCs w:val="28"/>
        </w:rPr>
        <w:t>т отражаться степень освоения умения или овладения новым знанием, например: «Знаю, как..., знаю и могу рассказать, могу научить другого», «Не понял, понял частично, все понял». А вот портфолио, словесные оценки детьми результатов работ, карты понятий, сост</w:t>
      </w:r>
      <w:r>
        <w:rPr>
          <w:rFonts w:ascii="Times New Roman" w:hAnsi="Times New Roman" w:cs="Times New Roman"/>
          <w:sz w:val="28"/>
          <w:szCs w:val="28"/>
        </w:rPr>
        <w:t xml:space="preserve">авление тестов – реже используются в коррекционно-развивающей деятельности учителя с детьми ОВЗ. Потому, что эти инструменты требуют большей подготовки учителя, специально сформированных умений у детей, а также системности применения. Например: инструмент </w:t>
      </w:r>
      <w:r>
        <w:rPr>
          <w:rFonts w:ascii="Times New Roman" w:hAnsi="Times New Roman" w:cs="Times New Roman"/>
          <w:sz w:val="28"/>
          <w:szCs w:val="28"/>
        </w:rPr>
        <w:t>оценивания «недельный отчет» используется крайне редко, так как использование этого инструмента предполагает достаточно высокий уровень владения письменной речью, а дети с ОВЗ чаще всего не владеют этими навыками на высоком уровне и данный вид работы для н</w:t>
      </w:r>
      <w:r>
        <w:rPr>
          <w:rFonts w:ascii="Times New Roman" w:hAnsi="Times New Roman" w:cs="Times New Roman"/>
          <w:sz w:val="28"/>
          <w:szCs w:val="28"/>
        </w:rPr>
        <w:t>их достаточно сложен.</w:t>
      </w:r>
    </w:p>
    <w:p w:rsidR="00AE513E" w:rsidRDefault="00E35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Так же формирующее оценивание может быть направлено на достижение разных целей коррекционно-развивающей деятельности учителя начальных классов. В качестве основной цели применения формирующего оценивания чаще всего отмечают 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 учебной самостоятельности,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13E" w:rsidRDefault="00E35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Значимость этих целей отражает специфику коррекционно-развивающей деятельности в начальной школе: формирование умений, диагностику развития и коррекцию недочетов.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выделить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применение фор</w:t>
      </w:r>
      <w:r>
        <w:rPr>
          <w:rFonts w:ascii="Times New Roman" w:hAnsi="Times New Roman" w:cs="Times New Roman"/>
          <w:sz w:val="28"/>
          <w:szCs w:val="28"/>
        </w:rPr>
        <w:t xml:space="preserve">мирующего оценивания, как построение индивидуальных образовательных маршрутов и мотивацию учеников к преодолению затруднений в процессе учения. Эти цели отражают практическое значение формирующего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реализации развивающего потенциала процесса</w:t>
      </w:r>
      <w:r>
        <w:rPr>
          <w:rFonts w:ascii="Times New Roman" w:hAnsi="Times New Roman" w:cs="Times New Roman"/>
          <w:sz w:val="28"/>
          <w:szCs w:val="28"/>
        </w:rPr>
        <w:t xml:space="preserve"> обучения.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формирующее оценивание используют с целью сгладить разрыв между успевающими детьми и детьми ОВЗ. Индивидуальность оценивания и работа с одними видами инструментов в классе позволяют учителю создать в классе ситуацию успеха для каждого у</w:t>
      </w:r>
      <w:r>
        <w:rPr>
          <w:rFonts w:ascii="Times New Roman" w:hAnsi="Times New Roman" w:cs="Times New Roman"/>
          <w:sz w:val="28"/>
          <w:szCs w:val="28"/>
        </w:rPr>
        <w:t>ченика.</w:t>
      </w:r>
    </w:p>
    <w:p w:rsidR="00AE513E" w:rsidRDefault="00E35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Формирующее оценивание позволяет успешно формировать регулятивные универсальные учебные действия. Умения учеников соотносить цель и результат, контролировать и оценивать выполнение работы, корректировать допущенные недочеты. Инструменты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способствуют формированию регулятивных универсальных учебных действий: осуществлять итоговый и пошаговый контроль по результату, оценивать правильность выполнения действия на уровне адекватной ретроспективной оценки, вносить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коррективы в действие после его завершения на основе его оценки и учета характера сделанных ошибок.</w:t>
      </w:r>
    </w:p>
    <w:p w:rsidR="00AE513E" w:rsidRDefault="00E35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Возможности применения формирующего оценивания в коррекционно-развивающей деятельности связываются прежде всего с внесением изменений в процесс обучения, </w:t>
      </w:r>
      <w:r>
        <w:rPr>
          <w:rFonts w:ascii="Times New Roman" w:hAnsi="Times New Roman" w:cs="Times New Roman"/>
          <w:sz w:val="28"/>
          <w:szCs w:val="28"/>
        </w:rPr>
        <w:t>своевременным выявлением сформированных или несформированных предметных умений учеников и планированием дальнейшей обучающей работы учителя. В этом случае правильно организованная работа учителя начальной школы по освоению и применению формирующего оценива</w:t>
      </w:r>
      <w:r>
        <w:rPr>
          <w:rFonts w:ascii="Times New Roman" w:hAnsi="Times New Roman" w:cs="Times New Roman"/>
          <w:sz w:val="28"/>
          <w:szCs w:val="28"/>
        </w:rPr>
        <w:t>ния в коррекционно-развивающей деятельности будет способствовать росту оценочной компетенции педагога и профессионализма в целом.</w:t>
      </w:r>
    </w:p>
    <w:sectPr w:rsidR="00AE513E">
      <w:pgSz w:w="11906" w:h="16838"/>
      <w:pgMar w:top="1134" w:right="50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3E"/>
    <w:rsid w:val="00AE513E"/>
    <w:rsid w:val="00E3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39F7"/>
  <w15:docId w15:val="{FFA65A72-CF96-48C8-99EF-34BE5515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5D98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  <w:lang/>
    </w:rPr>
  </w:style>
  <w:style w:type="paragraph" w:styleId="a9">
    <w:name w:val="Normal (Web)"/>
    <w:basedOn w:val="a"/>
    <w:uiPriority w:val="99"/>
    <w:semiHidden/>
    <w:unhideWhenUsed/>
    <w:qFormat/>
    <w:rsid w:val="005B5D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Надежда О. Яковлева</cp:lastModifiedBy>
  <cp:revision>8</cp:revision>
  <dcterms:created xsi:type="dcterms:W3CDTF">2023-06-14T20:04:00Z</dcterms:created>
  <dcterms:modified xsi:type="dcterms:W3CDTF">2023-08-08T13:34:00Z</dcterms:modified>
  <dc:language>ru-RU</dc:language>
</cp:coreProperties>
</file>