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6CE39" w14:textId="77777777" w:rsidR="003047C4" w:rsidRPr="00C64DE1" w:rsidRDefault="003047C4" w:rsidP="00304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64DE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2AC24F27" w14:textId="77777777" w:rsidR="003047C4" w:rsidRPr="00C64DE1" w:rsidRDefault="003047C4" w:rsidP="003047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69176510"/>
      <w:r w:rsidRPr="00C64DE1">
        <w:rPr>
          <w:rFonts w:ascii="Times New Roman" w:hAnsi="Times New Roman" w:cs="Times New Roman"/>
          <w:sz w:val="28"/>
          <w:szCs w:val="28"/>
        </w:rPr>
        <w:t>по результатам мониторинга</w:t>
      </w:r>
    </w:p>
    <w:p w14:paraId="7B635AF7" w14:textId="77777777" w:rsidR="003047C4" w:rsidRDefault="003047C4" w:rsidP="00304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E1">
        <w:rPr>
          <w:rFonts w:ascii="Times New Roman" w:hAnsi="Times New Roman" w:cs="Times New Roman"/>
          <w:b/>
          <w:sz w:val="28"/>
          <w:szCs w:val="28"/>
        </w:rPr>
        <w:t>«Анализ развития казачьего дошкольного образования</w:t>
      </w:r>
    </w:p>
    <w:p w14:paraId="2DA5A0BB" w14:textId="77777777" w:rsidR="003047C4" w:rsidRPr="00C64DE1" w:rsidRDefault="003047C4" w:rsidP="00304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E1">
        <w:rPr>
          <w:rFonts w:ascii="Times New Roman" w:hAnsi="Times New Roman" w:cs="Times New Roman"/>
          <w:b/>
          <w:sz w:val="28"/>
          <w:szCs w:val="28"/>
        </w:rPr>
        <w:t>в Краснодарском крае»</w:t>
      </w:r>
    </w:p>
    <w:bookmarkEnd w:id="1"/>
    <w:p w14:paraId="4613E818" w14:textId="77777777" w:rsidR="003047C4" w:rsidRPr="00C64DE1" w:rsidRDefault="003047C4" w:rsidP="003047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Pr="00C64DE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4DE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64DE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4BBC979" w14:textId="77777777" w:rsidR="003047C4" w:rsidRPr="00C64DE1" w:rsidRDefault="003047C4" w:rsidP="003047C4">
      <w:pPr>
        <w:pStyle w:val="1"/>
        <w:ind w:firstLine="709"/>
        <w:jc w:val="center"/>
        <w:textAlignment w:val="baseline"/>
        <w:rPr>
          <w:b/>
          <w:szCs w:val="28"/>
        </w:rPr>
      </w:pPr>
      <w:r w:rsidRPr="00C64DE1">
        <w:rPr>
          <w:b/>
          <w:szCs w:val="28"/>
        </w:rPr>
        <w:t>Актуальность исследования</w:t>
      </w:r>
    </w:p>
    <w:p w14:paraId="332CD7E3" w14:textId="77777777" w:rsidR="003047C4" w:rsidRPr="00B93E9F" w:rsidRDefault="003047C4" w:rsidP="003047C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23BB">
        <w:rPr>
          <w:rFonts w:ascii="Times New Roman" w:hAnsi="Times New Roman"/>
          <w:color w:val="000000"/>
          <w:sz w:val="28"/>
          <w:szCs w:val="28"/>
        </w:rPr>
        <w:t xml:space="preserve">Кафедра дошкольного образования ГБОУ ИРО Краснодарского края </w:t>
      </w:r>
      <w:r w:rsidRPr="002523BB">
        <w:rPr>
          <w:rFonts w:ascii="Times New Roman" w:hAnsi="Times New Roman"/>
          <w:color w:val="000000"/>
          <w:sz w:val="28"/>
          <w:szCs w:val="28"/>
        </w:rPr>
        <w:br/>
        <w:t>в соответствии с планом работы на 2024 год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" w:name="_Hlk132801774"/>
      <w:r w:rsidRPr="00B93E9F">
        <w:rPr>
          <w:rFonts w:ascii="Times New Roman" w:hAnsi="Times New Roman"/>
          <w:color w:val="000000"/>
          <w:sz w:val="28"/>
          <w:szCs w:val="28"/>
        </w:rPr>
        <w:t>пров</w:t>
      </w:r>
      <w:r>
        <w:rPr>
          <w:rFonts w:ascii="Times New Roman" w:hAnsi="Times New Roman"/>
          <w:color w:val="000000"/>
          <w:sz w:val="28"/>
          <w:szCs w:val="28"/>
        </w:rPr>
        <w:t>ела</w:t>
      </w:r>
      <w:r w:rsidRPr="00B93E9F">
        <w:rPr>
          <w:rFonts w:ascii="Times New Roman" w:hAnsi="Times New Roman"/>
          <w:color w:val="000000"/>
          <w:sz w:val="28"/>
          <w:szCs w:val="28"/>
        </w:rPr>
        <w:t xml:space="preserve"> мониторинг развития дошкольного образования Кубани на основе историко-культурных традиций кубанского казачества «Анализ развития казачьего дошкольного образования в Краснодарском крае».</w:t>
      </w:r>
    </w:p>
    <w:bookmarkEnd w:id="2"/>
    <w:p w14:paraId="5A62EA64" w14:textId="77777777" w:rsidR="003047C4" w:rsidRPr="00C64DE1" w:rsidRDefault="003047C4" w:rsidP="00304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64D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Объект исследования</w:t>
      </w:r>
      <w:r w:rsidRPr="00C64D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дошкольные образовательные организации (далее - ДОО) Краснодарского края с региональным статусом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64DE1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казачья образовательная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64DE1">
        <w:rPr>
          <w:rFonts w:ascii="Times New Roman" w:eastAsia="Times New Roman" w:hAnsi="Times New Roman" w:cs="Times New Roman"/>
          <w:sz w:val="28"/>
          <w:szCs w:val="28"/>
          <w:lang w:eastAsia="x-none"/>
        </w:rPr>
        <w:t>, ДОО, имеющие группу(ы) казачьей направленности.</w:t>
      </w:r>
    </w:p>
    <w:p w14:paraId="1FC6F0BF" w14:textId="77777777" w:rsidR="003047C4" w:rsidRPr="00C64DE1" w:rsidRDefault="003047C4" w:rsidP="003047C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64D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Целью исследования</w:t>
      </w:r>
      <w:r w:rsidRPr="00C64D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является сбор, анализ информации, выявление затруднений в реализации задач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дошкольного </w:t>
      </w:r>
      <w:r w:rsidRPr="00C64DE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образования на Кубани на основе историко-культурных традиций кубанского казачества.</w:t>
      </w:r>
    </w:p>
    <w:p w14:paraId="2E0E90E0" w14:textId="77777777" w:rsidR="003047C4" w:rsidRPr="00C64DE1" w:rsidRDefault="003047C4" w:rsidP="003047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64D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Основными задачами исследования стали:</w:t>
      </w:r>
    </w:p>
    <w:p w14:paraId="7FD8B1C5" w14:textId="77777777" w:rsidR="003047C4" w:rsidRPr="00C64DE1" w:rsidRDefault="003047C4" w:rsidP="00304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B17FA">
        <w:rPr>
          <w:rFonts w:ascii="Times New Roman" w:eastAsia="Times New Roman" w:hAnsi="Times New Roman"/>
          <w:sz w:val="28"/>
          <w:szCs w:val="28"/>
          <w:lang w:eastAsia="x-none"/>
        </w:rPr>
        <w:t>анализ развития казачьего дошкольного образования на основе историко-культурных традиций кубанского казачества</w:t>
      </w: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3728CEF3" w14:textId="77777777" w:rsidR="003047C4" w:rsidRPr="00C64DE1" w:rsidRDefault="003047C4" w:rsidP="00304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>анализ педагогической активности педагогов в ДОО с региональным статусом «казачья образовательная организация», ДОО, имеющих группы казачьей направленности;</w:t>
      </w:r>
    </w:p>
    <w:p w14:paraId="339807D6" w14:textId="77777777" w:rsidR="003047C4" w:rsidRPr="00C64DE1" w:rsidRDefault="003047C4" w:rsidP="00304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sz w:val="28"/>
          <w:szCs w:val="28"/>
        </w:rPr>
      </w:pP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 xml:space="preserve">анализ необходимости и достаточности мер сопровождения ДОО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 xml:space="preserve">с региональным статусом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>казачья образовательная организация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 xml:space="preserve">, ДОО, имеющих группу(ы) казачьей направленности; потребности педагогических работников в повышении уровня профессиональной компетенции педагогов в области казачьего образования, повышении квалификации. </w:t>
      </w:r>
    </w:p>
    <w:p w14:paraId="6A716220" w14:textId="77777777" w:rsidR="003047C4" w:rsidRPr="00C64DE1" w:rsidRDefault="003047C4" w:rsidP="00304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CE471C" w14:textId="77777777" w:rsidR="003047C4" w:rsidRDefault="003047C4" w:rsidP="003047C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 xml:space="preserve">В мониторинге </w:t>
      </w:r>
      <w:r w:rsidRPr="00B93E9F">
        <w:rPr>
          <w:rFonts w:ascii="Times New Roman" w:hAnsi="Times New Roman"/>
          <w:color w:val="000000"/>
          <w:sz w:val="28"/>
          <w:szCs w:val="28"/>
        </w:rPr>
        <w:t>развития дошкольного образования Кубани на основе историко-культурных традиций кубанского казачества «Анализ развития казачьего дошкольного образования в Краснодарском крае»</w:t>
      </w: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в июне </w:t>
      </w: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>202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 xml:space="preserve"> приняло участие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44 </w:t>
      </w:r>
      <w:r w:rsidRPr="00C64DE1">
        <w:rPr>
          <w:rFonts w:ascii="Times New Roman" w:eastAsia="Times New Roman" w:hAnsi="Times New Roman"/>
          <w:sz w:val="28"/>
          <w:szCs w:val="28"/>
          <w:lang w:eastAsia="x-none"/>
        </w:rPr>
        <w:t>муниципальных образования Краснодарского края (далее - МО)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768ABCB5" w14:textId="77777777" w:rsidR="003047C4" w:rsidRPr="00D34C8E" w:rsidRDefault="003047C4" w:rsidP="003047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В </w:t>
      </w:r>
      <w:r w:rsidRPr="00D34C8E">
        <w:rPr>
          <w:rFonts w:ascii="Times New Roman" w:eastAsia="Times New Roman" w:hAnsi="Times New Roman"/>
          <w:sz w:val="28"/>
          <w:szCs w:val="28"/>
          <w:lang w:eastAsia="x-none"/>
        </w:rPr>
        <w:t>32 муниципалитетах края функционируют 65 ДОО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D34C8E">
        <w:rPr>
          <w:rFonts w:ascii="Times New Roman" w:eastAsia="Times New Roman" w:hAnsi="Times New Roman"/>
          <w:sz w:val="28"/>
          <w:szCs w:val="28"/>
          <w:lang w:eastAsia="x-none"/>
        </w:rPr>
        <w:t>с региональным статусом «казачья образовательная организация».</w:t>
      </w:r>
    </w:p>
    <w:p w14:paraId="43766D28" w14:textId="77777777" w:rsidR="003047C4" w:rsidRPr="00D34C8E" w:rsidRDefault="003047C4" w:rsidP="003047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34C8E">
        <w:rPr>
          <w:rFonts w:ascii="Times New Roman" w:eastAsia="Times New Roman" w:hAnsi="Times New Roman"/>
          <w:sz w:val="28"/>
          <w:szCs w:val="28"/>
          <w:lang w:eastAsia="x-none"/>
        </w:rPr>
        <w:t>В 36 МО в 168 ДОО открыты и функционируют группы казачьей направленности.</w:t>
      </w:r>
    </w:p>
    <w:p w14:paraId="314665AF" w14:textId="77777777" w:rsidR="003047C4" w:rsidRPr="00D34C8E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34C8E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результату анализа поступивших данных, тенденция к открытию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D34C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функционированию групп казачьей направленности в ДОО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Pr="00D34C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присвоению регионального статуса ДОО в Краснодарском крае в целом растет (Рис.1, 2).</w:t>
      </w:r>
    </w:p>
    <w:p w14:paraId="74B7AF5B" w14:textId="77777777" w:rsidR="003047C4" w:rsidRPr="00D34C8E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5CF2C85" w14:textId="77777777" w:rsidR="003047C4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B7B2AB2" wp14:editId="4F21C7FA">
            <wp:extent cx="5699125" cy="1586865"/>
            <wp:effectExtent l="0" t="0" r="1587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EBCAE6" w14:textId="77777777" w:rsidR="003047C4" w:rsidRDefault="003047C4" w:rsidP="003047C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13FE0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3FE0">
        <w:rPr>
          <w:rFonts w:ascii="Times New Roman" w:hAnsi="Times New Roman" w:cs="Times New Roman"/>
          <w:sz w:val="24"/>
          <w:szCs w:val="24"/>
        </w:rPr>
        <w:t xml:space="preserve"> Дошкольные образовательные организации с региональным статусом «казачья образовательная организация» </w:t>
      </w:r>
    </w:p>
    <w:p w14:paraId="6BD3B890" w14:textId="77777777" w:rsidR="003047C4" w:rsidRDefault="003047C4" w:rsidP="003047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45C5271" w14:textId="77777777" w:rsidR="003047C4" w:rsidRDefault="003047C4" w:rsidP="003047C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01AF70" wp14:editId="01B451EE">
            <wp:extent cx="5661329" cy="1733385"/>
            <wp:effectExtent l="0" t="0" r="15875" b="6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D382B4" w14:textId="77777777" w:rsidR="003047C4" w:rsidRDefault="003047C4" w:rsidP="0030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FE0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3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ДОО, имеющие г</w:t>
      </w:r>
      <w:r w:rsidRPr="00013FE0">
        <w:rPr>
          <w:rFonts w:ascii="Times New Roman" w:hAnsi="Times New Roman" w:cs="Times New Roman"/>
          <w:sz w:val="24"/>
          <w:szCs w:val="24"/>
        </w:rPr>
        <w:t xml:space="preserve">руппы казачьей направленности </w:t>
      </w:r>
    </w:p>
    <w:p w14:paraId="514A226F" w14:textId="77777777" w:rsidR="003047C4" w:rsidRDefault="003047C4" w:rsidP="00304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417DD82" w14:textId="77777777" w:rsidR="003047C4" w:rsidRPr="002C1C52" w:rsidRDefault="003047C4" w:rsidP="00304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 января по июнь 2024 года присвоен</w:t>
      </w:r>
      <w:r w:rsidRPr="002C1C5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статус «казачья образовательная организация»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пяти ДОО в </w:t>
      </w:r>
      <w:r w:rsidRPr="002C1C5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муниципальных образованиях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Pr="002C1C52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2C1C52">
        <w:rPr>
          <w:rFonts w:ascii="Times New Roman" w:eastAsia="Times New Roman" w:hAnsi="Times New Roman" w:cs="Times New Roman"/>
          <w:sz w:val="28"/>
          <w:szCs w:val="28"/>
          <w:lang w:eastAsia="x-none"/>
        </w:rPr>
        <w:t>г.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A40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4A4011">
        <w:rPr>
          <w:rFonts w:ascii="Times New Roman" w:eastAsia="Times New Roman" w:hAnsi="Times New Roman" w:cs="Times New Roman"/>
          <w:sz w:val="28"/>
          <w:szCs w:val="28"/>
          <w:lang w:eastAsia="x-none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Абинский</w:t>
      </w:r>
      <w:proofErr w:type="spellEnd"/>
      <w:r w:rsidRPr="004A40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Крымский, </w:t>
      </w:r>
      <w:proofErr w:type="spellStart"/>
      <w:r w:rsidRPr="004A4011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Тимашевский</w:t>
      </w:r>
      <w:proofErr w:type="spellEnd"/>
      <w:r w:rsidRPr="00C974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4011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ах. </w:t>
      </w:r>
    </w:p>
    <w:p w14:paraId="42998E42" w14:textId="77777777" w:rsidR="003047C4" w:rsidRDefault="003047C4" w:rsidP="0030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числу дошкольных казачьих образовательных организаций ведущее место занимает 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МО Ейский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всего - семь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ДОО, в МО Ленинградский и </w:t>
      </w:r>
      <w:proofErr w:type="spellStart"/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Абинский</w:t>
      </w:r>
      <w:proofErr w:type="spellEnd"/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ах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пять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ДОО, в МО г-к Анапа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3" w:name="_Hlk169179318"/>
      <w:proofErr w:type="spellStart"/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>Курганинский</w:t>
      </w:r>
      <w:proofErr w:type="spellEnd"/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bookmarkStart w:id="4" w:name="_Hlk169179402"/>
      <w:proofErr w:type="spellStart"/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Тимашевский</w:t>
      </w:r>
      <w:bookmarkEnd w:id="4"/>
      <w:proofErr w:type="spellEnd"/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>, район</w:t>
      </w:r>
      <w:bookmarkEnd w:id="3"/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ах по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четыре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 МО </w:t>
      </w:r>
      <w:bookmarkStart w:id="5" w:name="_Hlk169179422"/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>Тихорецкий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Крымский, </w:t>
      </w:r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>Славянский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по 3</w:t>
      </w:r>
      <w:r w:rsidRPr="00A94F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ДОО,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МО г. Новороссийск, </w:t>
      </w:r>
      <w:bookmarkStart w:id="6" w:name="_Hlk169179263"/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>Красноармейский, Кущевский, Лабинский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Приморско-Ахтарский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Северский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Темрюкский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>Щербиновский</w:t>
      </w:r>
      <w:proofErr w:type="spellEnd"/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ах по два ДОО, в остальных муниципалитетах г. Краснодар,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г.Сочи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Гулькевический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Каневской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C422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Крыловской,  Мостовской,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Новопокровкий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Отрадненский</w:t>
      </w:r>
      <w:proofErr w:type="spellEnd"/>
      <w:r w:rsidRPr="00726B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Павловский,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Староминский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районов по одному ДОО (Рис.3).</w:t>
      </w:r>
    </w:p>
    <w:p w14:paraId="17F33F23" w14:textId="77777777" w:rsidR="003047C4" w:rsidRDefault="003047C4" w:rsidP="0030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Активная работа по приобщению дошкольников к историко-культурным традициям казачества на базе дошкольной казачьей образовательной организации обусловлена, прежде всего, исторически компактным проживанием   казачьих обществ, желанием знать больше о своих предках, семейных </w:t>
      </w:r>
      <w:r w:rsidRPr="00C64DE1">
        <w:rPr>
          <w:rFonts w:ascii="Times New Roman" w:hAnsi="Times New Roman" w:cs="Times New Roman"/>
          <w:sz w:val="28"/>
          <w:szCs w:val="28"/>
        </w:rPr>
        <w:t>ценност</w:t>
      </w:r>
      <w:r>
        <w:rPr>
          <w:rFonts w:ascii="Times New Roman" w:hAnsi="Times New Roman" w:cs="Times New Roman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традициях, близкое расположение к ДОО учебных заведений, имеющих классы казачьей направленности, наличие </w:t>
      </w:r>
      <w:r w:rsidRPr="00C64DE1">
        <w:rPr>
          <w:rFonts w:ascii="Times New Roman" w:hAnsi="Times New Roman" w:cs="Times New Roman"/>
          <w:sz w:val="28"/>
          <w:szCs w:val="28"/>
        </w:rPr>
        <w:t>казачьих кадетских корпусов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доступности, способствует непрерывности казачьего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69C9EE4A" w14:textId="77777777" w:rsidR="003047C4" w:rsidRDefault="003047C4" w:rsidP="0030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Немаловажное значение имеет желание родителей (законных представителей) дошкольников, педагогов в развитии данного направления.</w:t>
      </w:r>
    </w:p>
    <w:p w14:paraId="02C77F27" w14:textId="77777777" w:rsidR="003047C4" w:rsidRDefault="003047C4" w:rsidP="0030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A65AEB8" w14:textId="77777777" w:rsidR="003047C4" w:rsidRDefault="003047C4" w:rsidP="0030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9ECA17C" w14:textId="77777777" w:rsidR="003047C4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F5B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DB7BCB2" wp14:editId="0CCF0370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6543675" cy="8048625"/>
            <wp:effectExtent l="0" t="0" r="9525" b="9525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BFE52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F585553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ACE1A36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FD040E9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572CCC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25E5537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7F80748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13C2900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BFDC8A7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2079ED6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9654E5B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E7BF85C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4F3D291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8E1C2F1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48006F37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3B77EC0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4186698F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C8C7CAC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497B7A4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B6CCA4C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7999688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A30BFD7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B3C6C2D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80EE8B8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F02A3AD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34DEC9B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F7AB819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1F55CFE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CFD41CF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AD26B41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5697A47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A84AB5E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EAF0A1E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C23F9FE" w14:textId="77777777" w:rsidR="003047C4" w:rsidRDefault="003047C4" w:rsidP="003047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A37A0" w14:textId="77777777" w:rsidR="003047C4" w:rsidRDefault="003047C4" w:rsidP="003047C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374D15C" w14:textId="77777777" w:rsidR="003047C4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14:paraId="1390A744" w14:textId="77777777" w:rsidR="003047C4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14:paraId="2F6DA44F" w14:textId="77777777" w:rsidR="003047C4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14:paraId="1C4544EA" w14:textId="77777777" w:rsidR="003047C4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14:paraId="28719329" w14:textId="77777777" w:rsidR="003047C4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14:paraId="282750AE" w14:textId="77777777" w:rsidR="003047C4" w:rsidRPr="001F5BA5" w:rsidRDefault="003047C4" w:rsidP="003047C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13FE0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4 Количество ДОО</w:t>
      </w:r>
      <w:r w:rsidRPr="00F03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г</w:t>
      </w:r>
      <w:r w:rsidRPr="00013FE0">
        <w:rPr>
          <w:rFonts w:ascii="Times New Roman" w:hAnsi="Times New Roman" w:cs="Times New Roman"/>
          <w:sz w:val="24"/>
          <w:szCs w:val="24"/>
        </w:rPr>
        <w:t>рупп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013FE0">
        <w:rPr>
          <w:rFonts w:ascii="Times New Roman" w:hAnsi="Times New Roman" w:cs="Times New Roman"/>
          <w:sz w:val="24"/>
          <w:szCs w:val="24"/>
        </w:rPr>
        <w:t xml:space="preserve"> казачьей направленности </w:t>
      </w:r>
      <w:r>
        <w:rPr>
          <w:rFonts w:ascii="Times New Roman" w:hAnsi="Times New Roman" w:cs="Times New Roman"/>
          <w:sz w:val="24"/>
          <w:szCs w:val="24"/>
        </w:rPr>
        <w:t>в муниципальных образованиях Краснодарского края (июнь 2024)</w:t>
      </w:r>
    </w:p>
    <w:p w14:paraId="074EF350" w14:textId="77777777" w:rsidR="003047C4" w:rsidRDefault="003047C4" w:rsidP="003047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CC39329" wp14:editId="75F183ED">
            <wp:simplePos x="0" y="0"/>
            <wp:positionH relativeFrom="margin">
              <wp:posOffset>215265</wp:posOffset>
            </wp:positionH>
            <wp:positionV relativeFrom="paragraph">
              <wp:posOffset>215265</wp:posOffset>
            </wp:positionV>
            <wp:extent cx="5748020" cy="1963420"/>
            <wp:effectExtent l="0" t="0" r="5080" b="17780"/>
            <wp:wrapTopAndBottom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7AD8FE34" w14:textId="77777777" w:rsidR="003047C4" w:rsidRDefault="003047C4" w:rsidP="003047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51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3 Количество педагогов</w:t>
      </w:r>
      <w:r w:rsidRPr="009F751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</w:t>
      </w:r>
      <w:r w:rsidRPr="009F751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ах</w:t>
      </w:r>
      <w:r w:rsidRPr="009F751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казачьей направленности, </w:t>
      </w:r>
      <w:r>
        <w:rPr>
          <w:rFonts w:ascii="Times New Roman" w:hAnsi="Times New Roman" w:cs="Times New Roman"/>
          <w:sz w:val="24"/>
          <w:szCs w:val="24"/>
        </w:rPr>
        <w:t xml:space="preserve">нуждающихся </w:t>
      </w:r>
      <w:r>
        <w:rPr>
          <w:rFonts w:ascii="Times New Roman" w:hAnsi="Times New Roman" w:cs="Times New Roman"/>
          <w:sz w:val="24"/>
          <w:szCs w:val="24"/>
        </w:rPr>
        <w:br/>
        <w:t>в специальном обучении, июнь 2024</w:t>
      </w:r>
    </w:p>
    <w:p w14:paraId="719D0F4B" w14:textId="77777777" w:rsidR="003047C4" w:rsidRPr="00E27136" w:rsidRDefault="003047C4" w:rsidP="003047C4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Отмечается </w:t>
      </w:r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педагогическая активность, прежде всего, педагогов ДОО  </w:t>
      </w:r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>с региональным статусом «казачья образовательная организация». Педагогические работники разрабатывают, внедряют авторские программы, пособия к ним, активно делятся своим наработанным опытом на площадках разного уровня, публикуют статьи.</w:t>
      </w:r>
    </w:p>
    <w:p w14:paraId="31609A92" w14:textId="77777777" w:rsidR="003047C4" w:rsidRDefault="003047C4" w:rsidP="003047C4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0B4C9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ростом </w:t>
      </w:r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числа дошкольных образовательных организаций казачьей направленности, растет число педагогов, нуждающихся повысить компетентность 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области </w:t>
      </w:r>
      <w:r w:rsidRPr="00C64DE1">
        <w:rPr>
          <w:rFonts w:ascii="Times New Roman" w:eastAsia="Times New Roman" w:hAnsi="Times New Roman" w:cs="Times New Roman"/>
          <w:sz w:val="28"/>
          <w:szCs w:val="28"/>
          <w:lang w:eastAsia="x-none"/>
        </w:rPr>
        <w:t>истори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ческих, этно</w:t>
      </w:r>
      <w:r w:rsidRPr="00C64DE1">
        <w:rPr>
          <w:rFonts w:ascii="Times New Roman" w:eastAsia="Times New Roman" w:hAnsi="Times New Roman" w:cs="Times New Roman"/>
          <w:sz w:val="28"/>
          <w:szCs w:val="28"/>
          <w:lang w:eastAsia="x-none"/>
        </w:rPr>
        <w:t>культурных традиций кубанского казачества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9F751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). </w:t>
      </w:r>
    </w:p>
    <w:p w14:paraId="6216A349" w14:textId="77777777" w:rsidR="003047C4" w:rsidRPr="000667A6" w:rsidRDefault="003047C4" w:rsidP="003047C4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Кафедра дошкольного образования ГБОУ ИРО Краснодарского края проводит обучение </w:t>
      </w:r>
      <w:r w:rsidRPr="000667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ДПП ПК: «Организационный и содержательный аспекты функционирования групп казачьей направленности ДОО», организует </w:t>
      </w:r>
      <w:proofErr w:type="spellStart"/>
      <w:r w:rsidRPr="000667A6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стажировочные</w:t>
      </w:r>
      <w:proofErr w:type="spellEnd"/>
      <w:r w:rsidRPr="000667A6">
        <w:rPr>
          <w:rFonts w:ascii="Times New Roman" w:eastAsia="Times New Roman" w:hAnsi="Times New Roman" w:cs="Times New Roman"/>
          <w:sz w:val="28"/>
          <w:szCs w:val="28"/>
          <w:lang w:eastAsia="x-none"/>
        </w:rPr>
        <w:t>, инновационные, передового педагогического опыта площадки ГБОУ ИРО Краснодарского края, осуществляет сопровождение и взаимодействие с ДОО.</w:t>
      </w:r>
    </w:p>
    <w:p w14:paraId="198315F7" w14:textId="77777777" w:rsidR="003047C4" w:rsidRPr="00E27136" w:rsidRDefault="003047C4" w:rsidP="003047C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13 июня 2024 года проведена </w:t>
      </w:r>
      <w:r w:rsidRPr="00A46A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Всероссийская научно-практическая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Pr="00A46A60">
        <w:rPr>
          <w:rFonts w:ascii="Times New Roman" w:eastAsia="Times New Roman" w:hAnsi="Times New Roman" w:cs="Times New Roman"/>
          <w:sz w:val="28"/>
          <w:szCs w:val="28"/>
          <w:lang w:eastAsia="x-none"/>
        </w:rPr>
        <w:t>онференция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46A60">
        <w:rPr>
          <w:rFonts w:ascii="Times New Roman" w:eastAsia="Times New Roman" w:hAnsi="Times New Roman" w:cs="Times New Roman"/>
          <w:sz w:val="28"/>
          <w:szCs w:val="28"/>
          <w:lang w:eastAsia="x-none"/>
        </w:rPr>
        <w:t>«Воспитательный потенциал казачьей культуры в системе дошкольного образования на современном этапе: успехи, проблемы, перспективы»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для </w:t>
      </w:r>
      <w:bookmarkStart w:id="7" w:name="_Hlk163216383"/>
      <w:bookmarkStart w:id="8" w:name="_Hlk166755911"/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>педагогических и руководящих работников, представителей РПЦ, представителей казачьих обществ, преподавателей институтов развития образования, системы профессионального и высшего образования, специалистов управлений образованием, руководителей и методистов территориальных методических служб, руководителей</w:t>
      </w:r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краевых и муниципальных инновационных площадок, иных заинтересованных лиц</w:t>
      </w:r>
      <w:bookmarkEnd w:id="7"/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bookmarkEnd w:id="8"/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Всего приняло участие: около ста чел., среди них представители г. Москва, Республики Калмыкия, Амурской, Владимировской, Ростовской, Челябинской областей, Краснодарского, Хабаровского края. </w:t>
      </w:r>
    </w:p>
    <w:p w14:paraId="54EE7487" w14:textId="77777777" w:rsidR="003047C4" w:rsidRDefault="003047C4" w:rsidP="003047C4">
      <w:pPr>
        <w:widowControl w:val="0"/>
        <w:autoSpaceDE w:val="0"/>
        <w:autoSpaceDN w:val="0"/>
        <w:adjustRightInd w:val="0"/>
        <w:spacing w:after="0" w:line="319" w:lineRule="exact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Педагоги </w:t>
      </w:r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>24 муниципальных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Краснодарского края представили передовой педагогический опыт</w:t>
      </w:r>
      <w:r w:rsidRPr="00E271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приобщению детей к </w:t>
      </w:r>
      <w:r w:rsidRPr="00A46A60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казачьей культур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е, </w:t>
      </w:r>
      <w:r w:rsidRPr="00A46A60">
        <w:rPr>
          <w:rFonts w:ascii="Times New Roman" w:eastAsia="Times New Roman" w:hAnsi="Times New Roman" w:cs="Times New Roman"/>
          <w:sz w:val="28"/>
          <w:szCs w:val="28"/>
          <w:lang w:eastAsia="x-none"/>
        </w:rPr>
        <w:t>этнокультурным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традициям, базовым ценностям</w:t>
      </w:r>
      <w:r w:rsidRPr="00A46A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системе дошкольного образования на современном этапе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5AF94A0A" w14:textId="77777777" w:rsidR="003047C4" w:rsidRPr="00A46A60" w:rsidRDefault="003047C4" w:rsidP="003047C4">
      <w:pPr>
        <w:widowControl w:val="0"/>
        <w:autoSpaceDE w:val="0"/>
        <w:autoSpaceDN w:val="0"/>
        <w:adjustRightInd w:val="0"/>
        <w:spacing w:after="0" w:line="319" w:lineRule="exact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Готовится к выпуску Сборник</w:t>
      </w:r>
      <w:r w:rsidRPr="00FF7DD9">
        <w:rPr>
          <w:sz w:val="26"/>
          <w:szCs w:val="26"/>
        </w:rPr>
        <w:t xml:space="preserve"> </w:t>
      </w:r>
      <w:r w:rsidRPr="00FF7D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материалов по итогам Всероссийской </w:t>
      </w:r>
      <w:r w:rsidRPr="00FF7DD9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научно-практической конференции «Воспитательный потенциал казачьей культуры в системе дошкольного образования на современном этапе: успехи, проблемы, перспективы»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89A4A29" w14:textId="77777777" w:rsidR="003047C4" w:rsidRDefault="003047C4" w:rsidP="003047C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Е</w:t>
      </w:r>
      <w:r w:rsidRPr="001F5BA5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жегодный мониторинг</w:t>
      </w:r>
      <w:r w:rsidRPr="00FF7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3E9F">
        <w:rPr>
          <w:rFonts w:ascii="Times New Roman" w:hAnsi="Times New Roman"/>
          <w:color w:val="000000"/>
          <w:sz w:val="28"/>
          <w:szCs w:val="28"/>
        </w:rPr>
        <w:t>развития дошкольного образования Кубани на основе историко-культурных традиций кубанского казачества «Анализ развития казачьего дошкольного об</w:t>
      </w:r>
      <w:r>
        <w:rPr>
          <w:rFonts w:ascii="Times New Roman" w:hAnsi="Times New Roman"/>
          <w:color w:val="000000"/>
          <w:sz w:val="28"/>
          <w:szCs w:val="28"/>
        </w:rPr>
        <w:t xml:space="preserve">разования в Краснодарском крае» </w:t>
      </w:r>
      <w:r w:rsidRPr="001F5BA5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е</w:t>
      </w:r>
      <w:r w:rsidRPr="001F5BA5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т возможность отследить проблемные поля, скорректировать работу педагогов с дошкольниками в вопросах воспитания на основе историко-культурных традиций кубанского казачества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.</w:t>
      </w:r>
      <w:r w:rsidRPr="00612E49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</w:p>
    <w:p w14:paraId="421BC948" w14:textId="77777777" w:rsidR="003047C4" w:rsidRDefault="003047C4" w:rsidP="003047C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результате анализа предоставленных данных выявлены </w:t>
      </w:r>
      <w:r w:rsidRPr="00DE473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проблемные поля:</w:t>
      </w:r>
    </w:p>
    <w:p w14:paraId="3F05A673" w14:textId="77777777" w:rsidR="003047C4" w:rsidRPr="00AF1B28" w:rsidRDefault="003047C4" w:rsidP="003047C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малая педагогическая активность педагогов ДОО в группах казачьей направленности</w:t>
      </w:r>
      <w:r w:rsidRPr="00AF1B28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;</w:t>
      </w:r>
    </w:p>
    <w:p w14:paraId="56CF54B4" w14:textId="77777777" w:rsidR="003047C4" w:rsidRDefault="003047C4" w:rsidP="003047C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 w:rsidRPr="00DE473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некоторых </w:t>
      </w:r>
      <w:r w:rsidRPr="00DE473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детских садах отсутствует взаимодействие с аутентичными носителями культурных традиций казачества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,</w:t>
      </w:r>
      <w:r w:rsidRPr="00DE473C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не заключен договор с районным казачьим обществом, нет казака-наставника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;</w:t>
      </w:r>
    </w:p>
    <w:p w14:paraId="6AF16FCE" w14:textId="77777777" w:rsidR="003047C4" w:rsidRPr="00DE473C" w:rsidRDefault="003047C4" w:rsidP="003047C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невнимательное заполнение мониторинга, предоставлены некорректные данные.</w:t>
      </w:r>
    </w:p>
    <w:p w14:paraId="4B5B19B0" w14:textId="77777777" w:rsidR="003047C4" w:rsidRDefault="003047C4" w:rsidP="00304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00F5457D" w14:textId="77777777" w:rsidR="003047C4" w:rsidRPr="005C3B08" w:rsidRDefault="003047C4" w:rsidP="00304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Г.С.</w:t>
      </w:r>
      <w:r w:rsidRPr="005C3B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Тулупова, </w:t>
      </w:r>
    </w:p>
    <w:p w14:paraId="5C778A00" w14:textId="77777777" w:rsidR="003047C4" w:rsidRPr="005C3B08" w:rsidRDefault="003047C4" w:rsidP="00304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C3B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старший преподаватель </w:t>
      </w:r>
    </w:p>
    <w:p w14:paraId="70F607AD" w14:textId="77777777" w:rsidR="003047C4" w:rsidRPr="005C3B08" w:rsidRDefault="003047C4" w:rsidP="00304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C3B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кафедры дошкольного образования </w:t>
      </w:r>
    </w:p>
    <w:p w14:paraId="29916FCF" w14:textId="77777777" w:rsidR="003047C4" w:rsidRPr="005C3B08" w:rsidRDefault="003047C4" w:rsidP="00304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C3B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ГБОУ ИРО Краснодарского края</w:t>
      </w:r>
    </w:p>
    <w:p w14:paraId="36592A9A" w14:textId="77777777" w:rsidR="00C4233B" w:rsidRDefault="00C4233B"/>
    <w:sectPr w:rsidR="00C4233B" w:rsidSect="003E06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8E4"/>
    <w:multiLevelType w:val="hybridMultilevel"/>
    <w:tmpl w:val="E096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41BEA"/>
    <w:multiLevelType w:val="hybridMultilevel"/>
    <w:tmpl w:val="39027F3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3B"/>
    <w:rsid w:val="003047C4"/>
    <w:rsid w:val="00C4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02A9F-FED8-4ED5-9A78-3A3B765C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7C4"/>
  </w:style>
  <w:style w:type="paragraph" w:styleId="1">
    <w:name w:val="heading 1"/>
    <w:basedOn w:val="a"/>
    <w:next w:val="a"/>
    <w:link w:val="10"/>
    <w:qFormat/>
    <w:rsid w:val="003047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7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47C4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3047C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30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35447652376786E-2"/>
          <c:y val="4.7619047619047616E-2"/>
          <c:w val="0.90849737532808394"/>
          <c:h val="0.50799041424169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ДОО с региональным статусом "казачья образовательная организация"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</c:v>
                </c:pt>
                <c:pt idx="1">
                  <c:v>2022 г</c:v>
                </c:pt>
                <c:pt idx="2">
                  <c:v>2023 г</c:v>
                </c:pt>
                <c:pt idx="3">
                  <c:v>2024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42</c:v>
                </c:pt>
                <c:pt idx="2">
                  <c:v>60</c:v>
                </c:pt>
                <c:pt idx="3">
                  <c:v>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F4-45C5-9699-95F877A654B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8219032"/>
        <c:axId val="438215752"/>
      </c:lineChart>
      <c:catAx>
        <c:axId val="438219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8215752"/>
        <c:crosses val="autoZero"/>
        <c:auto val="1"/>
        <c:lblAlgn val="ctr"/>
        <c:lblOffset val="100"/>
        <c:noMultiLvlLbl val="0"/>
      </c:catAx>
      <c:valAx>
        <c:axId val="4382157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8219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35447652376786E-2"/>
          <c:y val="4.7619047619047616E-2"/>
          <c:w val="0.90849737532808394"/>
          <c:h val="0.50799041424169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ДОО,имеющие группы казачьей направленности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CD-4939-A345-6F6C249F34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</c:v>
                </c:pt>
                <c:pt idx="1">
                  <c:v>2022 г</c:v>
                </c:pt>
                <c:pt idx="2">
                  <c:v>2023 г</c:v>
                </c:pt>
                <c:pt idx="3">
                  <c:v>2024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108</c:v>
                </c:pt>
                <c:pt idx="1">
                  <c:v>128</c:v>
                </c:pt>
                <c:pt idx="2">
                  <c:v>169</c:v>
                </c:pt>
                <c:pt idx="3">
                  <c:v>168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CD-4939-A345-6F6C249F34F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8219032"/>
        <c:axId val="438215752"/>
      </c:lineChart>
      <c:catAx>
        <c:axId val="438219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8215752"/>
        <c:crosses val="autoZero"/>
        <c:auto val="1"/>
        <c:lblAlgn val="ctr"/>
        <c:lblOffset val="100"/>
        <c:noMultiLvlLbl val="0"/>
      </c:catAx>
      <c:valAx>
        <c:axId val="4382157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8219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100"/>
              <a:t>ДОО, имеющие группы казачьей направленности </a:t>
            </a:r>
          </a:p>
          <a:p>
            <a:pPr>
              <a:defRPr sz="1100"/>
            </a:pPr>
            <a:r>
              <a:rPr lang="ru-RU" sz="1100"/>
              <a:t>в МО Краснодарского края </a:t>
            </a:r>
          </a:p>
        </c:rich>
      </c:tx>
      <c:layout>
        <c:manualLayout>
          <c:xMode val="edge"/>
          <c:yMode val="edge"/>
          <c:x val="0.29973557348877267"/>
          <c:y val="2.3755030621172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4221697015711294"/>
          <c:y val="8.5739847035249631E-2"/>
          <c:w val="0.64672030304143546"/>
          <c:h val="0.8148401777127384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ДОО с региональным статусом "казачья образовательная организация"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Лист1!$A$2:$A$45</c:f>
              <c:strCache>
                <c:ptCount val="44"/>
                <c:pt idx="0">
                  <c:v>г.Анапа</c:v>
                </c:pt>
                <c:pt idx="1">
                  <c:v>г.Армавир</c:v>
                </c:pt>
                <c:pt idx="2">
                  <c:v>г.Геленджик</c:v>
                </c:pt>
                <c:pt idx="3">
                  <c:v>г.Горячий Ключ</c:v>
                </c:pt>
                <c:pt idx="4">
                  <c:v>г.Краснодар</c:v>
                </c:pt>
                <c:pt idx="5">
                  <c:v>г.Новороссийск</c:v>
                </c:pt>
                <c:pt idx="6">
                  <c:v>г.Сочи</c:v>
                </c:pt>
                <c:pt idx="7">
                  <c:v>Абинский район</c:v>
                </c:pt>
                <c:pt idx="8">
                  <c:v>Апшеронский район</c:v>
                </c:pt>
                <c:pt idx="9">
                  <c:v>Белоглинский район</c:v>
                </c:pt>
                <c:pt idx="10">
                  <c:v>Белореченский район</c:v>
                </c:pt>
                <c:pt idx="11">
                  <c:v>Брюховецкий район</c:v>
                </c:pt>
                <c:pt idx="12">
                  <c:v>Выселковский район</c:v>
                </c:pt>
                <c:pt idx="13">
                  <c:v>Гулькевический район</c:v>
                </c:pt>
                <c:pt idx="14">
                  <c:v>Динской район</c:v>
                </c:pt>
                <c:pt idx="15">
                  <c:v>Ейский район</c:v>
                </c:pt>
                <c:pt idx="16">
                  <c:v>Кавказский район</c:v>
                </c:pt>
                <c:pt idx="17">
                  <c:v>Калининский район</c:v>
                </c:pt>
                <c:pt idx="18">
                  <c:v>Каневской район</c:v>
                </c:pt>
                <c:pt idx="19">
                  <c:v>Кореновский район</c:v>
                </c:pt>
                <c:pt idx="20">
                  <c:v>Красноармейский район</c:v>
                </c:pt>
                <c:pt idx="21">
                  <c:v>Крыловский район </c:v>
                </c:pt>
                <c:pt idx="22">
                  <c:v>Крымский район</c:v>
                </c:pt>
                <c:pt idx="23">
                  <c:v>Курганинский район</c:v>
                </c:pt>
                <c:pt idx="24">
                  <c:v>Кущевский район</c:v>
                </c:pt>
                <c:pt idx="25">
                  <c:v>Лабинский район</c:v>
                </c:pt>
                <c:pt idx="26">
                  <c:v>Ленинградский район</c:v>
                </c:pt>
                <c:pt idx="27">
                  <c:v>Мостовский район</c:v>
                </c:pt>
                <c:pt idx="28">
                  <c:v>Новокубанский район</c:v>
                </c:pt>
                <c:pt idx="29">
                  <c:v>Новопокровский район</c:v>
                </c:pt>
                <c:pt idx="30">
                  <c:v>Отрадненский район</c:v>
                </c:pt>
                <c:pt idx="31">
                  <c:v>Павловский район</c:v>
                </c:pt>
                <c:pt idx="32">
                  <c:v>Прим-Ахтарский район</c:v>
                </c:pt>
                <c:pt idx="33">
                  <c:v>Северский район</c:v>
                </c:pt>
                <c:pt idx="34">
                  <c:v>Славянский район</c:v>
                </c:pt>
                <c:pt idx="35">
                  <c:v>Староминский район</c:v>
                </c:pt>
                <c:pt idx="36">
                  <c:v>Тбилисский район</c:v>
                </c:pt>
                <c:pt idx="37">
                  <c:v>Темрюкский</c:v>
                </c:pt>
                <c:pt idx="38">
                  <c:v>Тимашевский район</c:v>
                </c:pt>
                <c:pt idx="39">
                  <c:v>Тихорецкий район</c:v>
                </c:pt>
                <c:pt idx="40">
                  <c:v>Туапсинский район</c:v>
                </c:pt>
                <c:pt idx="41">
                  <c:v>Успенский район</c:v>
                </c:pt>
                <c:pt idx="42">
                  <c:v>Усть-Лабинский район</c:v>
                </c:pt>
                <c:pt idx="43">
                  <c:v>Щербиновский район</c:v>
                </c:pt>
              </c:strCache>
            </c:strRef>
          </c:cat>
          <c:val>
            <c:numRef>
              <c:f>Лист1!$B$2:$B$45</c:f>
              <c:numCache>
                <c:formatCode>General</c:formatCode>
                <c:ptCount val="44"/>
                <c:pt idx="0">
                  <c:v>4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5</c:v>
                </c:pt>
                <c:pt idx="13">
                  <c:v>1</c:v>
                </c:pt>
                <c:pt idx="15">
                  <c:v>7</c:v>
                </c:pt>
                <c:pt idx="18">
                  <c:v>1</c:v>
                </c:pt>
                <c:pt idx="20">
                  <c:v>2</c:v>
                </c:pt>
                <c:pt idx="21">
                  <c:v>1</c:v>
                </c:pt>
                <c:pt idx="22">
                  <c:v>3</c:v>
                </c:pt>
                <c:pt idx="23">
                  <c:v>4</c:v>
                </c:pt>
                <c:pt idx="24">
                  <c:v>2</c:v>
                </c:pt>
                <c:pt idx="25">
                  <c:v>2</c:v>
                </c:pt>
                <c:pt idx="26">
                  <c:v>5</c:v>
                </c:pt>
                <c:pt idx="27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2</c:v>
                </c:pt>
                <c:pt idx="33">
                  <c:v>2</c:v>
                </c:pt>
                <c:pt idx="34">
                  <c:v>3</c:v>
                </c:pt>
                <c:pt idx="35">
                  <c:v>1</c:v>
                </c:pt>
                <c:pt idx="37">
                  <c:v>2</c:v>
                </c:pt>
                <c:pt idx="38">
                  <c:v>4</c:v>
                </c:pt>
                <c:pt idx="39">
                  <c:v>3</c:v>
                </c:pt>
                <c:pt idx="40">
                  <c:v>1</c:v>
                </c:pt>
                <c:pt idx="4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82-4491-9A21-9BD0AE9AB9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ДОО, имеющие группы казачьей направленности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Лист1!$A$2:$A$45</c:f>
              <c:strCache>
                <c:ptCount val="44"/>
                <c:pt idx="0">
                  <c:v>г.Анапа</c:v>
                </c:pt>
                <c:pt idx="1">
                  <c:v>г.Армавир</c:v>
                </c:pt>
                <c:pt idx="2">
                  <c:v>г.Геленджик</c:v>
                </c:pt>
                <c:pt idx="3">
                  <c:v>г.Горячий Ключ</c:v>
                </c:pt>
                <c:pt idx="4">
                  <c:v>г.Краснодар</c:v>
                </c:pt>
                <c:pt idx="5">
                  <c:v>г.Новороссийск</c:v>
                </c:pt>
                <c:pt idx="6">
                  <c:v>г.Сочи</c:v>
                </c:pt>
                <c:pt idx="7">
                  <c:v>Абинский район</c:v>
                </c:pt>
                <c:pt idx="8">
                  <c:v>Апшеронский район</c:v>
                </c:pt>
                <c:pt idx="9">
                  <c:v>Белоглинский район</c:v>
                </c:pt>
                <c:pt idx="10">
                  <c:v>Белореченский район</c:v>
                </c:pt>
                <c:pt idx="11">
                  <c:v>Брюховецкий район</c:v>
                </c:pt>
                <c:pt idx="12">
                  <c:v>Выселковский район</c:v>
                </c:pt>
                <c:pt idx="13">
                  <c:v>Гулькевический район</c:v>
                </c:pt>
                <c:pt idx="14">
                  <c:v>Динской район</c:v>
                </c:pt>
                <c:pt idx="15">
                  <c:v>Ейский район</c:v>
                </c:pt>
                <c:pt idx="16">
                  <c:v>Кавказский район</c:v>
                </c:pt>
                <c:pt idx="17">
                  <c:v>Калининский район</c:v>
                </c:pt>
                <c:pt idx="18">
                  <c:v>Каневской район</c:v>
                </c:pt>
                <c:pt idx="19">
                  <c:v>Кореновский район</c:v>
                </c:pt>
                <c:pt idx="20">
                  <c:v>Красноармейский район</c:v>
                </c:pt>
                <c:pt idx="21">
                  <c:v>Крыловский район </c:v>
                </c:pt>
                <c:pt idx="22">
                  <c:v>Крымский район</c:v>
                </c:pt>
                <c:pt idx="23">
                  <c:v>Курганинский район</c:v>
                </c:pt>
                <c:pt idx="24">
                  <c:v>Кущевский район</c:v>
                </c:pt>
                <c:pt idx="25">
                  <c:v>Лабинский район</c:v>
                </c:pt>
                <c:pt idx="26">
                  <c:v>Ленинградский район</c:v>
                </c:pt>
                <c:pt idx="27">
                  <c:v>Мостовский район</c:v>
                </c:pt>
                <c:pt idx="28">
                  <c:v>Новокубанский район</c:v>
                </c:pt>
                <c:pt idx="29">
                  <c:v>Новопокровский район</c:v>
                </c:pt>
                <c:pt idx="30">
                  <c:v>Отрадненский район</c:v>
                </c:pt>
                <c:pt idx="31">
                  <c:v>Павловский район</c:v>
                </c:pt>
                <c:pt idx="32">
                  <c:v>Прим-Ахтарский район</c:v>
                </c:pt>
                <c:pt idx="33">
                  <c:v>Северский район</c:v>
                </c:pt>
                <c:pt idx="34">
                  <c:v>Славянский район</c:v>
                </c:pt>
                <c:pt idx="35">
                  <c:v>Староминский район</c:v>
                </c:pt>
                <c:pt idx="36">
                  <c:v>Тбилисский район</c:v>
                </c:pt>
                <c:pt idx="37">
                  <c:v>Темрюкский</c:v>
                </c:pt>
                <c:pt idx="38">
                  <c:v>Тимашевский район</c:v>
                </c:pt>
                <c:pt idx="39">
                  <c:v>Тихорецкий район</c:v>
                </c:pt>
                <c:pt idx="40">
                  <c:v>Туапсинский район</c:v>
                </c:pt>
                <c:pt idx="41">
                  <c:v>Успенский район</c:v>
                </c:pt>
                <c:pt idx="42">
                  <c:v>Усть-Лабинский район</c:v>
                </c:pt>
                <c:pt idx="43">
                  <c:v>Щербиновский район</c:v>
                </c:pt>
              </c:strCache>
            </c:strRef>
          </c:cat>
          <c:val>
            <c:numRef>
              <c:f>Лист1!$C$2:$C$45</c:f>
              <c:numCache>
                <c:formatCode>General</c:formatCode>
                <c:ptCount val="4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13</c:v>
                </c:pt>
                <c:pt idx="6">
                  <c:v>5</c:v>
                </c:pt>
                <c:pt idx="7">
                  <c:v>12</c:v>
                </c:pt>
                <c:pt idx="10">
                  <c:v>6</c:v>
                </c:pt>
                <c:pt idx="11">
                  <c:v>3</c:v>
                </c:pt>
                <c:pt idx="12">
                  <c:v>2</c:v>
                </c:pt>
                <c:pt idx="14">
                  <c:v>5</c:v>
                </c:pt>
                <c:pt idx="15">
                  <c:v>6</c:v>
                </c:pt>
                <c:pt idx="16">
                  <c:v>6</c:v>
                </c:pt>
                <c:pt idx="17">
                  <c:v>14</c:v>
                </c:pt>
                <c:pt idx="18">
                  <c:v>4</c:v>
                </c:pt>
                <c:pt idx="19">
                  <c:v>2</c:v>
                </c:pt>
                <c:pt idx="20">
                  <c:v>1</c:v>
                </c:pt>
                <c:pt idx="21">
                  <c:v>3</c:v>
                </c:pt>
                <c:pt idx="22">
                  <c:v>11</c:v>
                </c:pt>
                <c:pt idx="23">
                  <c:v>7</c:v>
                </c:pt>
                <c:pt idx="24">
                  <c:v>1</c:v>
                </c:pt>
                <c:pt idx="26">
                  <c:v>6</c:v>
                </c:pt>
                <c:pt idx="27">
                  <c:v>3</c:v>
                </c:pt>
                <c:pt idx="28">
                  <c:v>12</c:v>
                </c:pt>
                <c:pt idx="29">
                  <c:v>2</c:v>
                </c:pt>
                <c:pt idx="30">
                  <c:v>7</c:v>
                </c:pt>
                <c:pt idx="31">
                  <c:v>10</c:v>
                </c:pt>
                <c:pt idx="32">
                  <c:v>2</c:v>
                </c:pt>
                <c:pt idx="35">
                  <c:v>1</c:v>
                </c:pt>
                <c:pt idx="36">
                  <c:v>5</c:v>
                </c:pt>
                <c:pt idx="37">
                  <c:v>4</c:v>
                </c:pt>
                <c:pt idx="38">
                  <c:v>1</c:v>
                </c:pt>
                <c:pt idx="39">
                  <c:v>2</c:v>
                </c:pt>
                <c:pt idx="40">
                  <c:v>2</c:v>
                </c:pt>
                <c:pt idx="41">
                  <c:v>2</c:v>
                </c:pt>
                <c:pt idx="4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82-4491-9A21-9BD0AE9AB9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Лист1!$A$2:$A$45</c:f>
              <c:strCache>
                <c:ptCount val="44"/>
                <c:pt idx="0">
                  <c:v>г.Анапа</c:v>
                </c:pt>
                <c:pt idx="1">
                  <c:v>г.Армавир</c:v>
                </c:pt>
                <c:pt idx="2">
                  <c:v>г.Геленджик</c:v>
                </c:pt>
                <c:pt idx="3">
                  <c:v>г.Горячий Ключ</c:v>
                </c:pt>
                <c:pt idx="4">
                  <c:v>г.Краснодар</c:v>
                </c:pt>
                <c:pt idx="5">
                  <c:v>г.Новороссийск</c:v>
                </c:pt>
                <c:pt idx="6">
                  <c:v>г.Сочи</c:v>
                </c:pt>
                <c:pt idx="7">
                  <c:v>Абинский район</c:v>
                </c:pt>
                <c:pt idx="8">
                  <c:v>Апшеронский район</c:v>
                </c:pt>
                <c:pt idx="9">
                  <c:v>Белоглинский район</c:v>
                </c:pt>
                <c:pt idx="10">
                  <c:v>Белореченский район</c:v>
                </c:pt>
                <c:pt idx="11">
                  <c:v>Брюховецкий район</c:v>
                </c:pt>
                <c:pt idx="12">
                  <c:v>Выселковский район</c:v>
                </c:pt>
                <c:pt idx="13">
                  <c:v>Гулькевический район</c:v>
                </c:pt>
                <c:pt idx="14">
                  <c:v>Динской район</c:v>
                </c:pt>
                <c:pt idx="15">
                  <c:v>Ейский район</c:v>
                </c:pt>
                <c:pt idx="16">
                  <c:v>Кавказский район</c:v>
                </c:pt>
                <c:pt idx="17">
                  <c:v>Калининский район</c:v>
                </c:pt>
                <c:pt idx="18">
                  <c:v>Каневской район</c:v>
                </c:pt>
                <c:pt idx="19">
                  <c:v>Кореновский район</c:v>
                </c:pt>
                <c:pt idx="20">
                  <c:v>Красноармейский район</c:v>
                </c:pt>
                <c:pt idx="21">
                  <c:v>Крыловский район </c:v>
                </c:pt>
                <c:pt idx="22">
                  <c:v>Крымский район</c:v>
                </c:pt>
                <c:pt idx="23">
                  <c:v>Курганинский район</c:v>
                </c:pt>
                <c:pt idx="24">
                  <c:v>Кущевский район</c:v>
                </c:pt>
                <c:pt idx="25">
                  <c:v>Лабинский район</c:v>
                </c:pt>
                <c:pt idx="26">
                  <c:v>Ленинградский район</c:v>
                </c:pt>
                <c:pt idx="27">
                  <c:v>Мостовский район</c:v>
                </c:pt>
                <c:pt idx="28">
                  <c:v>Новокубанский район</c:v>
                </c:pt>
                <c:pt idx="29">
                  <c:v>Новопокровский район</c:v>
                </c:pt>
                <c:pt idx="30">
                  <c:v>Отрадненский район</c:v>
                </c:pt>
                <c:pt idx="31">
                  <c:v>Павловский район</c:v>
                </c:pt>
                <c:pt idx="32">
                  <c:v>Прим-Ахтарский район</c:v>
                </c:pt>
                <c:pt idx="33">
                  <c:v>Северский район</c:v>
                </c:pt>
                <c:pt idx="34">
                  <c:v>Славянский район</c:v>
                </c:pt>
                <c:pt idx="35">
                  <c:v>Староминский район</c:v>
                </c:pt>
                <c:pt idx="36">
                  <c:v>Тбилисский район</c:v>
                </c:pt>
                <c:pt idx="37">
                  <c:v>Темрюкский</c:v>
                </c:pt>
                <c:pt idx="38">
                  <c:v>Тимашевский район</c:v>
                </c:pt>
                <c:pt idx="39">
                  <c:v>Тихорецкий район</c:v>
                </c:pt>
                <c:pt idx="40">
                  <c:v>Туапсинский район</c:v>
                </c:pt>
                <c:pt idx="41">
                  <c:v>Успенский район</c:v>
                </c:pt>
                <c:pt idx="42">
                  <c:v>Усть-Лабинский район</c:v>
                </c:pt>
                <c:pt idx="43">
                  <c:v>Щербиновский район</c:v>
                </c:pt>
              </c:strCache>
            </c:strRef>
          </c:cat>
          <c:val>
            <c:numRef>
              <c:f>Лист1!$D$2:$D$45</c:f>
              <c:numCache>
                <c:formatCode>General</c:formatCode>
                <c:ptCount val="44"/>
              </c:numCache>
            </c:numRef>
          </c:val>
          <c:extLst>
            <c:ext xmlns:c16="http://schemas.microsoft.com/office/drawing/2014/chart" uri="{C3380CC4-5D6E-409C-BE32-E72D297353CC}">
              <c16:uniqueId val="{00000002-6982-4491-9A21-9BD0AE9AB93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100"/>
        <c:axId val="319161936"/>
        <c:axId val="319160760"/>
      </c:barChart>
      <c:catAx>
        <c:axId val="31916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160760"/>
        <c:crosses val="autoZero"/>
        <c:auto val="1"/>
        <c:lblAlgn val="ctr"/>
        <c:lblOffset val="100"/>
        <c:noMultiLvlLbl val="0"/>
      </c:catAx>
      <c:valAx>
        <c:axId val="319160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16193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Педагоги ДОО в группах казачьей направленности</a:t>
            </a:r>
          </a:p>
        </c:rich>
      </c:tx>
      <c:layout>
        <c:manualLayout>
          <c:xMode val="edge"/>
          <c:yMode val="edge"/>
          <c:x val="0.18785338255608017"/>
          <c:y val="6.468305304010349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педагогов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педагоги казачьих ДОО</c:v>
                </c:pt>
                <c:pt idx="1">
                  <c:v>педагоги групп казач.направленности ДОО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693</c:v>
                </c:pt>
                <c:pt idx="1">
                  <c:v>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BD-4590-B925-B9324F5DA9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педагогов нуждающихся в обучении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педагоги казачьих ДОО</c:v>
                </c:pt>
                <c:pt idx="1">
                  <c:v>педагоги групп казач.направленности ДОО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176</c:v>
                </c:pt>
                <c:pt idx="1">
                  <c:v>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BD-4590-B925-B9324F5DA9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педагоги казачьих ДОО</c:v>
                </c:pt>
                <c:pt idx="1">
                  <c:v>педагоги групп казач.направленности ДОО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98BD-4590-B925-B9324F5DA91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87566072"/>
        <c:axId val="387556888"/>
      </c:barChart>
      <c:catAx>
        <c:axId val="387566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56888"/>
        <c:crosses val="autoZero"/>
        <c:auto val="1"/>
        <c:lblAlgn val="ctr"/>
        <c:lblOffset val="100"/>
        <c:noMultiLvlLbl val="0"/>
      </c:catAx>
      <c:valAx>
        <c:axId val="3875568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66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С. Тулупова</dc:creator>
  <cp:keywords/>
  <dc:description/>
  <cp:lastModifiedBy>Галина С. Тулупова</cp:lastModifiedBy>
  <cp:revision>2</cp:revision>
  <dcterms:created xsi:type="dcterms:W3CDTF">2024-07-08T08:47:00Z</dcterms:created>
  <dcterms:modified xsi:type="dcterms:W3CDTF">2024-07-08T08:47:00Z</dcterms:modified>
</cp:coreProperties>
</file>