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  <w:gridCol w:w="4784"/>
      </w:tblGrid>
      <w:tr w:rsidR="00547916" w:rsidRPr="00702C83" w14:paraId="3FA2E305" w14:textId="77777777" w:rsidTr="004D056D">
        <w:tc>
          <w:tcPr>
            <w:tcW w:w="9776" w:type="dxa"/>
          </w:tcPr>
          <w:p w14:paraId="49956D23" w14:textId="77777777" w:rsidR="00547916" w:rsidRPr="00702C83" w:rsidRDefault="00547916" w:rsidP="004D056D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bookmarkStart w:id="0" w:name="_Hlk109396645"/>
            <w:bookmarkEnd w:id="0"/>
          </w:p>
        </w:tc>
        <w:tc>
          <w:tcPr>
            <w:tcW w:w="4784" w:type="dxa"/>
          </w:tcPr>
          <w:p w14:paraId="0488B1B5" w14:textId="77777777" w:rsidR="00547916" w:rsidRPr="00702C83" w:rsidRDefault="00547916" w:rsidP="0054791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bookmarkStart w:id="1" w:name="_Hlk119079595"/>
            <w:r w:rsidRPr="00702C83">
              <w:rPr>
                <w:rFonts w:ascii="Times New Roman" w:eastAsiaTheme="minorHAnsi" w:hAnsi="Times New Roman" w:cs="Times New Roman"/>
                <w:sz w:val="28"/>
                <w:szCs w:val="28"/>
              </w:rPr>
              <w:t>УТВЕРЖДАЮ:</w:t>
            </w:r>
          </w:p>
          <w:p w14:paraId="0B162601" w14:textId="02438438" w:rsidR="00547916" w:rsidRPr="00702C83" w:rsidRDefault="00547916" w:rsidP="0054791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bookmarkStart w:id="2" w:name="_Hlk109130113"/>
            <w:r w:rsidRPr="00702C8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проректор </w:t>
            </w:r>
            <w:bookmarkEnd w:id="2"/>
            <w:r w:rsidR="003709E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по научной и инновационной деятельности, цифровой трансформации и </w:t>
            </w:r>
            <w:proofErr w:type="spellStart"/>
            <w:r w:rsidR="003709EA">
              <w:rPr>
                <w:rFonts w:ascii="Times New Roman" w:eastAsiaTheme="minorHAnsi" w:hAnsi="Times New Roman" w:cs="Times New Roman"/>
                <w:sz w:val="28"/>
                <w:szCs w:val="28"/>
              </w:rPr>
              <w:t>медиакоммуникации</w:t>
            </w:r>
            <w:proofErr w:type="spellEnd"/>
          </w:p>
          <w:p w14:paraId="6BBC9F25" w14:textId="196ED4E1" w:rsidR="00547916" w:rsidRPr="00702C83" w:rsidRDefault="00547916" w:rsidP="0054791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702C83">
              <w:rPr>
                <w:rFonts w:ascii="Times New Roman" w:eastAsiaTheme="minorHAnsi" w:hAnsi="Times New Roman" w:cs="Times New Roman"/>
                <w:sz w:val="28"/>
                <w:szCs w:val="28"/>
              </w:rPr>
              <w:t>__________________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Л.Н. Терновая</w:t>
            </w:r>
          </w:p>
          <w:p w14:paraId="3E3243C8" w14:textId="5498EB72" w:rsidR="00547916" w:rsidRPr="00702C83" w:rsidRDefault="00547916" w:rsidP="0054791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02C83">
              <w:rPr>
                <w:rFonts w:ascii="Times New Roman" w:eastAsiaTheme="minorHAnsi" w:hAnsi="Times New Roman" w:cs="Times New Roman"/>
                <w:sz w:val="28"/>
                <w:szCs w:val="28"/>
              </w:rPr>
              <w:t>«______» _______________202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4</w:t>
            </w:r>
            <w:r w:rsidRPr="00702C8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г.</w:t>
            </w:r>
          </w:p>
          <w:bookmarkEnd w:id="1"/>
          <w:p w14:paraId="295F1484" w14:textId="77777777" w:rsidR="00547916" w:rsidRPr="00702C83" w:rsidRDefault="00547916" w:rsidP="004D056D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</w:tbl>
    <w:p w14:paraId="66EC1333" w14:textId="77777777" w:rsidR="00547916" w:rsidRDefault="00547916" w:rsidP="0054791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АНАЛИТИЧЕСКАЯ СПРАВКА</w:t>
      </w:r>
    </w:p>
    <w:p w14:paraId="40573351" w14:textId="55AE6AA9" w:rsidR="00741396" w:rsidRPr="004916E3" w:rsidRDefault="00547916" w:rsidP="0074139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16E3">
        <w:rPr>
          <w:rFonts w:ascii="Times New Roman" w:hAnsi="Times New Roman"/>
          <w:b/>
          <w:sz w:val="28"/>
          <w:szCs w:val="28"/>
        </w:rPr>
        <w:t xml:space="preserve">Анализ </w:t>
      </w:r>
      <w:r>
        <w:rPr>
          <w:rFonts w:ascii="Times New Roman" w:hAnsi="Times New Roman"/>
          <w:b/>
          <w:sz w:val="28"/>
          <w:szCs w:val="28"/>
        </w:rPr>
        <w:t>результатов промежуточного мониторинга по реализации</w:t>
      </w:r>
      <w:r w:rsidR="00741396">
        <w:rPr>
          <w:rFonts w:ascii="Times New Roman" w:hAnsi="Times New Roman"/>
          <w:b/>
          <w:sz w:val="28"/>
          <w:szCs w:val="28"/>
        </w:rPr>
        <w:t xml:space="preserve"> федерального инновационного проекта</w:t>
      </w:r>
    </w:p>
    <w:p w14:paraId="09A98A4F" w14:textId="1F3EC63D" w:rsidR="00547916" w:rsidRPr="005708AC" w:rsidRDefault="00741396" w:rsidP="007413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8AC">
        <w:rPr>
          <w:rFonts w:ascii="Times New Roman" w:hAnsi="Times New Roman" w:cs="Times New Roman"/>
          <w:b/>
          <w:sz w:val="28"/>
          <w:szCs w:val="28"/>
        </w:rPr>
        <w:t>«Создание медиа-кейсов как методического ресурса по формированию базовых ценностей у дошкольников»</w:t>
      </w:r>
    </w:p>
    <w:p w14:paraId="3DE208BE" w14:textId="140A675E" w:rsidR="00741396" w:rsidRDefault="005708AC" w:rsidP="00CC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CC5F5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рамках</w:t>
      </w:r>
      <w:r w:rsidR="001644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="001644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выявления </w:t>
      </w:r>
      <w:r w:rsidRPr="00CC5F5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эффективности</w:t>
      </w:r>
      <w:proofErr w:type="gramEnd"/>
      <w:r w:rsidRPr="00CC5F5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реализации федерального инновационного проекта были разработаны показатели </w:t>
      </w:r>
      <w:r w:rsidR="00741396" w:rsidRPr="00CC5F5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контроля и обеспечения достоверности результатов проекта (программы) в ходе его</w:t>
      </w:r>
      <w:r w:rsidRPr="00CC5F5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741396" w:rsidRPr="00CC5F5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реализации в отчетном периоде</w:t>
      </w:r>
      <w:r w:rsidRPr="00CC5F5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14:paraId="5EDBCD57" w14:textId="7DE23023" w:rsidR="00CF107B" w:rsidRDefault="00CF107B" w:rsidP="00CC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Мониторинг реализации проекта проводился в два этапа.</w:t>
      </w:r>
    </w:p>
    <w:p w14:paraId="4B571168" w14:textId="409736C4" w:rsidR="00CF107B" w:rsidRDefault="00CF107B" w:rsidP="00CC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 первом этапе необходимо было выявить дефициты профессиональных компетентностей педагогов, чтобы выстроить план работы по эффективной реализации проекта.</w:t>
      </w:r>
      <w:r w:rsidR="008E28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Для этого была разработана универсальная </w:t>
      </w:r>
      <w:r w:rsidR="008E28E1" w:rsidRPr="008E28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Диагностическая карта выявления дефицитов профессиональных компетентностей педагогических кадров</w:t>
      </w:r>
      <w:r w:rsidR="008E28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 пяти направлениям развития </w:t>
      </w:r>
      <w:r w:rsidR="00FB079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</w:t>
      </w:r>
      <w:r w:rsidR="00FB079F" w:rsidRPr="00FB079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включает показатели по пяти образовательным областям в соответствии с ФГОС ДО (социально-коммуникативное развитие; познавательное развитие; речевое развитие; художественно-эстетическое развитие; физическое развитие)</w:t>
      </w:r>
      <w:r w:rsidR="00FB079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8E28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 учетом показателей по медиа-грамотности и медиа</w:t>
      </w:r>
      <w:r w:rsidR="00FB079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</w:t>
      </w:r>
      <w:r w:rsidR="008E28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культуре педагогов дошколь</w:t>
      </w:r>
      <w:r w:rsidR="00FB079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ных образовательных организаций</w:t>
      </w:r>
      <w:r w:rsidR="008E28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согласно задачам федеральной образовательной программы дошкольного образования.</w:t>
      </w:r>
      <w:r w:rsidR="00FB079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Первый этап проводился в форме самоанализа, что позволила педагогам проанализировать свою профессиональную деятельность по созданию безопасного информационного пространства в детском саду.</w:t>
      </w:r>
    </w:p>
    <w:p w14:paraId="0A141C88" w14:textId="269AFC3F" w:rsidR="00FB079F" w:rsidRDefault="00FB079F" w:rsidP="00CC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 результатам первого этапа мониторинга были выявлены дефициты </w:t>
      </w:r>
      <w:r w:rsidR="00C4661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профессиональных компетентностей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 следующим показателям:</w:t>
      </w:r>
    </w:p>
    <w:p w14:paraId="7559A263" w14:textId="76B67A52" w:rsidR="00FB079F" w:rsidRPr="004D1A77" w:rsidRDefault="00C46617" w:rsidP="00C46617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4D1A77">
        <w:rPr>
          <w:rFonts w:eastAsiaTheme="minorHAnsi"/>
          <w:b/>
          <w:bCs/>
          <w:sz w:val="28"/>
          <w:szCs w:val="28"/>
          <w:lang w:eastAsia="en-US"/>
        </w:rPr>
        <w:t>Познавательное направление развития</w:t>
      </w:r>
    </w:p>
    <w:p w14:paraId="38C84972" w14:textId="24B05221" w:rsidR="00C46617" w:rsidRDefault="00C46617" w:rsidP="00C46617">
      <w:pPr>
        <w:pStyle w:val="a5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1.1.</w:t>
      </w:r>
      <w:r w:rsidRPr="0014521B">
        <w:rPr>
          <w:color w:val="000000"/>
        </w:rPr>
        <w:t>Педагог использует элементы анимационных и кинематографических произведения отечественного производства (из перечня к ФОП ДО) для совместного просмотра, бесед и обсуждений в образовательном процессе в качестве иллюстраций п</w:t>
      </w:r>
      <w:r>
        <w:rPr>
          <w:color w:val="000000"/>
        </w:rPr>
        <w:t xml:space="preserve">риродных явлений и </w:t>
      </w:r>
      <w:r w:rsidRPr="0014521B">
        <w:rPr>
          <w:color w:val="000000"/>
        </w:rPr>
        <w:t>формирования у него ценностного отношения к окружающему миру.</w:t>
      </w:r>
    </w:p>
    <w:p w14:paraId="1B4B892B" w14:textId="0F6A8C2C" w:rsidR="00C46617" w:rsidRDefault="00C46617" w:rsidP="00C46617">
      <w:pPr>
        <w:pStyle w:val="a5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1.2</w:t>
      </w:r>
      <w:r w:rsidRPr="00C46617">
        <w:t xml:space="preserve"> </w:t>
      </w:r>
      <w:r w:rsidRPr="00C46617">
        <w:rPr>
          <w:color w:val="000000"/>
        </w:rPr>
        <w:t>Созданы условия для ознакомления детей с многообразием архитектурных форм и построек (рассматривают иллюстрированные альбомы, видеофрагменты, открытки, слайды с изображением зданий, площадей, мостов, фонтанов, обращают внимание детей на архитектурные элементы – арки, колонны, фронтоны и т.п.)</w:t>
      </w:r>
    </w:p>
    <w:p w14:paraId="05903ED7" w14:textId="493792FB" w:rsidR="00C46617" w:rsidRDefault="00C46617" w:rsidP="00C46617">
      <w:pPr>
        <w:pStyle w:val="a5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1.3. </w:t>
      </w:r>
      <w:r w:rsidRPr="00C46617">
        <w:rPr>
          <w:color w:val="000000"/>
        </w:rPr>
        <w:t>Педагог формирует культуру познания посредством информационных ресурсов, получения информации с помощью информационных технологий (поиск в интернет, передача информации в мессенджерах и т. п., правилами информационной защиты, обращения с техническими устройствами (от проектора до телефона и планшета)</w:t>
      </w:r>
    </w:p>
    <w:p w14:paraId="740E8840" w14:textId="6CEFF0AA" w:rsidR="00C46617" w:rsidRDefault="00C46617" w:rsidP="00C46617">
      <w:pPr>
        <w:pStyle w:val="a5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1.4.</w:t>
      </w:r>
      <w:r w:rsidRPr="00C46617">
        <w:t xml:space="preserve"> </w:t>
      </w:r>
      <w:r w:rsidRPr="00C46617">
        <w:rPr>
          <w:color w:val="000000"/>
        </w:rPr>
        <w:t>Педагог использует элементы анимационных и кинематографических произведения отечественного производства (из перечня к ФОП ДО) для совместного просмотра, бесед и обсуждений в образовательном процессе в качестве иллюстраций ценности познания окружающего мира, расширения опыта познавательной инициативы ребенка посредством информационного медиа-контента.</w:t>
      </w:r>
    </w:p>
    <w:p w14:paraId="4BF0ABC2" w14:textId="116A79F9" w:rsidR="00C46617" w:rsidRDefault="00C46617" w:rsidP="00C46617">
      <w:pPr>
        <w:pStyle w:val="a5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1.5. </w:t>
      </w:r>
      <w:r w:rsidR="00560FF1" w:rsidRPr="00560FF1">
        <w:rPr>
          <w:color w:val="000000"/>
        </w:rPr>
        <w:t>Педагог использует элементы анимационных и кинематографических произведения (из перечня ФОП ДО) для совместного просмотра, бесед и обсуждений в образовательном процессе в качестве иллюстраций разнообразия архитектурных форм, зданий различного назначения, развития умение находить сходство и различия архитектурных сооружений, знакомит детей с профессиями дизайнера, конструктора, архитектора, строителя и др</w:t>
      </w:r>
      <w:r w:rsidR="00560FF1">
        <w:rPr>
          <w:color w:val="000000"/>
        </w:rPr>
        <w:t>.</w:t>
      </w:r>
    </w:p>
    <w:p w14:paraId="3669BC53" w14:textId="181B8ADD" w:rsidR="00560FF1" w:rsidRDefault="004D1A77" w:rsidP="00C46617">
      <w:pPr>
        <w:pStyle w:val="a5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color w:val="000000"/>
        </w:rPr>
        <w:t>2</w:t>
      </w:r>
      <w:r w:rsidRPr="004D1A77">
        <w:rPr>
          <w:b/>
          <w:color w:val="000000"/>
          <w:sz w:val="28"/>
          <w:szCs w:val="28"/>
        </w:rPr>
        <w:t>. Речевое направления развития.</w:t>
      </w:r>
    </w:p>
    <w:p w14:paraId="5F0378B5" w14:textId="77777777" w:rsidR="004D1A77" w:rsidRDefault="004D1A77" w:rsidP="00C46617">
      <w:pPr>
        <w:pStyle w:val="a5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</w:t>
      </w:r>
      <w:r w:rsidRPr="004D1A77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1.</w:t>
      </w:r>
      <w:r w:rsidRPr="004D1A77">
        <w:rPr>
          <w:color w:val="000000"/>
        </w:rPr>
        <w:t xml:space="preserve"> </w:t>
      </w:r>
      <w:r w:rsidRPr="0014521B">
        <w:rPr>
          <w:color w:val="000000"/>
        </w:rPr>
        <w:t>Способствуют овладению формами речевого этикета, отражающими принятые в обществе правила и нормы культурного поведения, в перв</w:t>
      </w:r>
      <w:r>
        <w:rPr>
          <w:color w:val="000000"/>
        </w:rPr>
        <w:t>ую очередь собственным примером, также обращают внимание на речь героев во время просмотров мультфильмов.</w:t>
      </w:r>
    </w:p>
    <w:p w14:paraId="1B65C52A" w14:textId="18CAB6BD" w:rsidR="004D1A77" w:rsidRDefault="004D1A77" w:rsidP="00C46617">
      <w:pPr>
        <w:pStyle w:val="a5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2.2.</w:t>
      </w:r>
      <w:r w:rsidRPr="004D1A77">
        <w:rPr>
          <w:color w:val="000000"/>
        </w:rPr>
        <w:t xml:space="preserve"> </w:t>
      </w:r>
      <w:r w:rsidRPr="0014521B">
        <w:rPr>
          <w:color w:val="000000"/>
        </w:rPr>
        <w:t>Воспитывают отношения к родному языку как ценности, умения чувствовать красоту языка, стремления говорить красиво (на правильном, богатом, образном языке), в первую очередь собственным примером</w:t>
      </w:r>
      <w:r>
        <w:rPr>
          <w:color w:val="000000"/>
        </w:rPr>
        <w:t>, обращая внимание на речь при характеристики герое анимационных произведений.</w:t>
      </w:r>
    </w:p>
    <w:p w14:paraId="158E8D2D" w14:textId="68A53417" w:rsidR="004D1A77" w:rsidRDefault="004D1A77" w:rsidP="00C46617">
      <w:pPr>
        <w:pStyle w:val="a5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2.3.</w:t>
      </w:r>
      <w:r w:rsidRPr="004D1A77">
        <w:rPr>
          <w:color w:val="000000"/>
        </w:rPr>
        <w:t xml:space="preserve"> </w:t>
      </w:r>
      <w:r w:rsidRPr="0014521B">
        <w:rPr>
          <w:color w:val="000000"/>
        </w:rPr>
        <w:t>Развивают образную сторону речи (побуждают пользоваться эпитетами, сравнениями, метафорами, знакомят со словами, имеющими одинаковое и противоположное значение и пр.)</w:t>
      </w:r>
      <w:r>
        <w:rPr>
          <w:color w:val="000000"/>
        </w:rPr>
        <w:t>. Находят примеры в рекомендуемых анимационных произведениях, фрагменты демонстрируя детям.</w:t>
      </w:r>
    </w:p>
    <w:p w14:paraId="457F18C8" w14:textId="5CD8205D" w:rsidR="004D1A77" w:rsidRPr="00F726EA" w:rsidRDefault="004D1A77" w:rsidP="00C46617">
      <w:pPr>
        <w:pStyle w:val="a5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F726EA">
        <w:rPr>
          <w:b/>
          <w:color w:val="000000"/>
          <w:sz w:val="28"/>
          <w:szCs w:val="28"/>
        </w:rPr>
        <w:t xml:space="preserve">3. </w:t>
      </w:r>
      <w:r w:rsidR="00F726EA" w:rsidRPr="00F726EA">
        <w:rPr>
          <w:b/>
          <w:color w:val="000000"/>
          <w:sz w:val="28"/>
          <w:szCs w:val="28"/>
        </w:rPr>
        <w:t>Социально-коммуникативное направление развития</w:t>
      </w:r>
    </w:p>
    <w:p w14:paraId="3C7E8599" w14:textId="2D5359E6" w:rsidR="00F726EA" w:rsidRDefault="00F726EA" w:rsidP="00C46617">
      <w:pPr>
        <w:pStyle w:val="a5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3.1 </w:t>
      </w:r>
      <w:r w:rsidRPr="00F726EA">
        <w:rPr>
          <w:color w:val="000000"/>
        </w:rPr>
        <w:t xml:space="preserve">Предусмотрено системное эмоциональное развитие: интегрировано в целостный образовательный процесс ДОО (Напр., детей учат, как действовать при столкновении с эмоциональной агрессией других (напр., с гневом и </w:t>
      </w:r>
      <w:proofErr w:type="gramStart"/>
      <w:r w:rsidRPr="00F726EA">
        <w:rPr>
          <w:color w:val="000000"/>
        </w:rPr>
        <w:t>раздражением)-</w:t>
      </w:r>
      <w:proofErr w:type="gramEnd"/>
      <w:r w:rsidRPr="00F726EA">
        <w:rPr>
          <w:color w:val="000000"/>
        </w:rPr>
        <w:t xml:space="preserve"> во время просмотра фрагментов </w:t>
      </w:r>
      <w:proofErr w:type="spellStart"/>
      <w:r w:rsidRPr="00F726EA">
        <w:rPr>
          <w:color w:val="000000"/>
        </w:rPr>
        <w:t>мульфильмов</w:t>
      </w:r>
      <w:proofErr w:type="spellEnd"/>
      <w:r w:rsidRPr="00F726EA">
        <w:rPr>
          <w:color w:val="000000"/>
        </w:rPr>
        <w:t>, выбирать оптимальный вариант поведения, как справляться со своими эмоциями, напр., со страхами, злостью, агрессией, раздражительностью, унынием, находить поводы для радости).</w:t>
      </w:r>
    </w:p>
    <w:p w14:paraId="79A99E0A" w14:textId="78A79D4A" w:rsidR="00F726EA" w:rsidRDefault="00F726EA" w:rsidP="00F726EA">
      <w:pPr>
        <w:pStyle w:val="a5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3.2. </w:t>
      </w:r>
      <w:r w:rsidRPr="00F726EA">
        <w:rPr>
          <w:color w:val="000000"/>
        </w:rPr>
        <w:t xml:space="preserve">Педагог использует элементы анимационных и кинематографических произведения отечественного производства для совместного просмотра, беседы обсуждений в образовательном процессе в качестве иллюстраций социальных явлений, норм и правил конструктивного взаимодействия, опасных ситуаций, проявлений сопереживания и взаимопомощи; расширения эмоционального опыта ребенка, формирования у него </w:t>
      </w:r>
      <w:proofErr w:type="spellStart"/>
      <w:r w:rsidRPr="00F726EA">
        <w:rPr>
          <w:color w:val="000000"/>
        </w:rPr>
        <w:t>эмпатиии</w:t>
      </w:r>
      <w:proofErr w:type="spellEnd"/>
      <w:r w:rsidRPr="00F726EA">
        <w:rPr>
          <w:color w:val="000000"/>
        </w:rPr>
        <w:t xml:space="preserve"> ценностного отношения к окружающему миру.</w:t>
      </w:r>
    </w:p>
    <w:p w14:paraId="71AC9109" w14:textId="6CFAE68F" w:rsidR="00F726EA" w:rsidRDefault="00F726EA" w:rsidP="00F726EA">
      <w:pPr>
        <w:pStyle w:val="a5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</w:rPr>
        <w:t>3.3.</w:t>
      </w:r>
      <w:r w:rsidRPr="00F726EA">
        <w:rPr>
          <w:color w:val="000000"/>
          <w:sz w:val="28"/>
          <w:szCs w:val="28"/>
        </w:rPr>
        <w:t>Педагог обсуждает с детьми правила пользования цифровыми ресурсами, сетью Интернет. Созданы общие правила пользования в группе.</w:t>
      </w:r>
    </w:p>
    <w:p w14:paraId="706BF5B4" w14:textId="2C3A9FD8" w:rsidR="00F726EA" w:rsidRDefault="00F726EA" w:rsidP="00F726EA">
      <w:pPr>
        <w:pStyle w:val="a5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F726EA">
        <w:rPr>
          <w:b/>
          <w:color w:val="000000"/>
          <w:sz w:val="28"/>
          <w:szCs w:val="28"/>
        </w:rPr>
        <w:t>4. Физическое направление развития.</w:t>
      </w:r>
    </w:p>
    <w:p w14:paraId="2DDC209F" w14:textId="0099BE67" w:rsidR="00F726EA" w:rsidRDefault="00F726EA" w:rsidP="00F726EA">
      <w:pPr>
        <w:pStyle w:val="a5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4.1.</w:t>
      </w:r>
      <w:r w:rsidRPr="0014521B">
        <w:rPr>
          <w:color w:val="000000"/>
        </w:rPr>
        <w:t xml:space="preserve">Педагоги способствуют формированию представлений о пользе, целесообразности физической активности (рассказывают о необходимости утренней зарядки, занятий спортом, о значении физических упражнений для развития мышц и т.п.) </w:t>
      </w:r>
      <w:r>
        <w:rPr>
          <w:color w:val="000000"/>
        </w:rPr>
        <w:t>с применением фрагментов анимационных произведений.</w:t>
      </w:r>
    </w:p>
    <w:p w14:paraId="78BE0109" w14:textId="0F3027DE" w:rsidR="00F726EA" w:rsidRDefault="00AB7ADE" w:rsidP="00AB7ADE">
      <w:pPr>
        <w:pStyle w:val="a5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4.2.</w:t>
      </w:r>
      <w:r w:rsidRPr="00AB7ADE">
        <w:rPr>
          <w:color w:val="000000"/>
        </w:rPr>
        <w:t xml:space="preserve">Педагоги помогают детям осознать необходимость бережного отношения к своему организму (о значении гигиенических процедур, соблюдения режима дня и правильного питания, о возможных последствиях переохлаждения, длительного пребывания на солнце, последствий вредных привычек и т.п.), и на примерах просмотров </w:t>
      </w:r>
      <w:proofErr w:type="gramStart"/>
      <w:r w:rsidRPr="00AB7ADE">
        <w:rPr>
          <w:color w:val="000000"/>
        </w:rPr>
        <w:t>видео-фрагментов</w:t>
      </w:r>
      <w:proofErr w:type="gramEnd"/>
      <w:r w:rsidRPr="00AB7ADE">
        <w:rPr>
          <w:color w:val="000000"/>
        </w:rPr>
        <w:t xml:space="preserve"> мультфильмов.</w:t>
      </w:r>
    </w:p>
    <w:p w14:paraId="4576376E" w14:textId="6F0F7EC8" w:rsidR="00AB7ADE" w:rsidRDefault="00AB7ADE" w:rsidP="00AB7ADE">
      <w:pPr>
        <w:pStyle w:val="a5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4.3.</w:t>
      </w:r>
      <w:r w:rsidRPr="00AB7ADE">
        <w:t xml:space="preserve"> </w:t>
      </w:r>
      <w:r w:rsidRPr="00AB7ADE">
        <w:rPr>
          <w:color w:val="000000"/>
        </w:rPr>
        <w:t>Педагог совместно с детьми в ходе разных мероприятий и повседневной жизни обсуждает, что полезно и что вредно для здоровья, помогает детям осознать пользу здорового образа жизни, соблюдения его элементарных норм и правил (используя рассказы, видео, электронные</w:t>
      </w:r>
      <w:r>
        <w:rPr>
          <w:color w:val="000000"/>
        </w:rPr>
        <w:t xml:space="preserve"> информационные</w:t>
      </w:r>
      <w:r w:rsidRPr="00AB7ADE">
        <w:rPr>
          <w:color w:val="000000"/>
        </w:rPr>
        <w:t xml:space="preserve"> ресурсы, экскурсии и пр.)</w:t>
      </w:r>
    </w:p>
    <w:p w14:paraId="407FC17B" w14:textId="5517A0C7" w:rsidR="00AB7ADE" w:rsidRPr="00AB7ADE" w:rsidRDefault="00AB7ADE" w:rsidP="00AB7ADE">
      <w:pPr>
        <w:pStyle w:val="a5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AB7ADE">
        <w:rPr>
          <w:b/>
          <w:color w:val="000000"/>
          <w:sz w:val="28"/>
          <w:szCs w:val="28"/>
        </w:rPr>
        <w:t>5. Художественно-эстетическое направление воспитания</w:t>
      </w:r>
    </w:p>
    <w:p w14:paraId="67C15209" w14:textId="6C5227FC" w:rsidR="00AB7ADE" w:rsidRDefault="00AB7ADE" w:rsidP="00AB7ADE">
      <w:pPr>
        <w:pStyle w:val="a5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5.1.</w:t>
      </w:r>
      <w:r w:rsidRPr="00AB7ADE">
        <w:t xml:space="preserve"> </w:t>
      </w:r>
      <w:r w:rsidRPr="00AB7ADE">
        <w:rPr>
          <w:color w:val="000000"/>
        </w:rPr>
        <w:t>Педагоги создают условия для приобщения детей к мировой и национальной музыкальной культуре, стремятся вызвать интерес посредством информационно-</w:t>
      </w:r>
      <w:proofErr w:type="spellStart"/>
      <w:r w:rsidRPr="00AB7ADE">
        <w:rPr>
          <w:color w:val="000000"/>
        </w:rPr>
        <w:t>медийного</w:t>
      </w:r>
      <w:proofErr w:type="spellEnd"/>
      <w:r w:rsidRPr="00AB7ADE">
        <w:rPr>
          <w:color w:val="000000"/>
        </w:rPr>
        <w:t xml:space="preserve"> ресурса к произведениям классической, народной музыке (организуют прослушивание музыкальных произведений, беседуют об их содержании, композиторах; знакомят с фольклором и т.п.)</w:t>
      </w:r>
    </w:p>
    <w:p w14:paraId="0FD40D87" w14:textId="06947BCB" w:rsidR="00AB7ADE" w:rsidRPr="00AB7ADE" w:rsidRDefault="00AB7ADE" w:rsidP="00AB7ADE">
      <w:pPr>
        <w:pStyle w:val="a5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5.2.</w:t>
      </w:r>
      <w:r w:rsidRPr="00AB7ADE">
        <w:rPr>
          <w:color w:val="000000"/>
        </w:rPr>
        <w:t>Развивают у детей представления о различных видах музыкального искусства (опера, балет и т.д.) и различных жанрах музыкальных произведений (вальс, марш, колыбельная и пр.) основываясь на просмотрах фрагментов анимационных произведений.</w:t>
      </w:r>
    </w:p>
    <w:p w14:paraId="48D3C775" w14:textId="1F27AE0A" w:rsidR="004D1A77" w:rsidRDefault="00AB7ADE" w:rsidP="00C46617">
      <w:pPr>
        <w:pStyle w:val="a5"/>
        <w:autoSpaceDE w:val="0"/>
        <w:autoSpaceDN w:val="0"/>
        <w:adjustRightInd w:val="0"/>
        <w:jc w:val="both"/>
        <w:rPr>
          <w:color w:val="000000"/>
        </w:rPr>
      </w:pPr>
      <w:r w:rsidRPr="00AB7ADE">
        <w:rPr>
          <w:color w:val="000000"/>
        </w:rPr>
        <w:t>5.3.</w:t>
      </w:r>
      <w:r w:rsidRPr="00AB7ADE">
        <w:t xml:space="preserve"> </w:t>
      </w:r>
      <w:r w:rsidRPr="00AB7ADE">
        <w:rPr>
          <w:color w:val="000000"/>
        </w:rPr>
        <w:t xml:space="preserve">При организации режимных моментов используется соответствующее музыкальное сопровождение (при проведении зарядки бодрая музыка, колыбельная перед сном, веселая музыка на прогулке, в группах и пр.), с дополнением аудио и </w:t>
      </w:r>
      <w:proofErr w:type="gramStart"/>
      <w:r w:rsidRPr="00AB7ADE">
        <w:rPr>
          <w:color w:val="000000"/>
        </w:rPr>
        <w:t>видео-фрагментов</w:t>
      </w:r>
      <w:proofErr w:type="gramEnd"/>
      <w:r w:rsidR="00AF3777">
        <w:rPr>
          <w:color w:val="000000"/>
        </w:rPr>
        <w:t>)</w:t>
      </w:r>
      <w:r w:rsidRPr="00AB7ADE">
        <w:rPr>
          <w:color w:val="000000"/>
        </w:rPr>
        <w:t>.</w:t>
      </w:r>
    </w:p>
    <w:p w14:paraId="504C72A0" w14:textId="49B7AF6D" w:rsidR="00AF3777" w:rsidRPr="00AB7ADE" w:rsidRDefault="00AF3777" w:rsidP="00C46617">
      <w:pPr>
        <w:pStyle w:val="a5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5.4.</w:t>
      </w:r>
      <w:r w:rsidRPr="00AF3777">
        <w:t xml:space="preserve"> </w:t>
      </w:r>
      <w:r w:rsidRPr="00AF3777">
        <w:rPr>
          <w:color w:val="000000"/>
        </w:rPr>
        <w:t xml:space="preserve">Поощряют импровизацию детей в пении, танцах, игре на музыкальных инструментах и пр. (побуждают детей передавать музыкальными средствами характерные особенности различных персонажей, свои эмоциональные переживания и настроения </w:t>
      </w:r>
      <w:r>
        <w:rPr>
          <w:color w:val="000000"/>
        </w:rPr>
        <w:t xml:space="preserve">с помощью подражания социально одобряемым сценариям поведения из просмотренных фрагментов анимационных фильмов </w:t>
      </w:r>
      <w:r w:rsidRPr="00AF3777">
        <w:rPr>
          <w:color w:val="000000"/>
        </w:rPr>
        <w:t>и т.п.)</w:t>
      </w:r>
    </w:p>
    <w:p w14:paraId="6C8DF855" w14:textId="77777777" w:rsidR="00C46617" w:rsidRPr="004D1A77" w:rsidRDefault="00C46617" w:rsidP="00C46617">
      <w:pPr>
        <w:pStyle w:val="a5"/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0EA917E4" w14:textId="77777777" w:rsidR="005D2A09" w:rsidRDefault="00FB079F" w:rsidP="009835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 результатам </w:t>
      </w:r>
      <w:r w:rsidR="00AF377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анализа </w:t>
      </w:r>
      <w:r w:rsidR="006E0A9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показателей </w:t>
      </w:r>
      <w:r w:rsidR="00AF377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профессиональных дефицитов </w:t>
      </w:r>
      <w:r w:rsidR="005D2A0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(71%</w:t>
      </w:r>
      <w:r w:rsidR="006E0A9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педагога из краевых </w:t>
      </w:r>
      <w:proofErr w:type="spellStart"/>
      <w:r w:rsidR="006E0A9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апробационных</w:t>
      </w:r>
      <w:proofErr w:type="spellEnd"/>
      <w:r w:rsidR="006E0A9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площадок, которые являются соисполнителями федерального инновационного проекта показатели дефициты по выше представленным показателям)</w:t>
      </w:r>
      <w:r w:rsidR="005D2A0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6E0A9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5D2A09" w:rsidRPr="00DF1540">
        <w:rPr>
          <w:rFonts w:ascii="Times New Roman" w:eastAsiaTheme="minorHAnsi" w:hAnsi="Times New Roman" w:cs="Times New Roman"/>
          <w:sz w:val="28"/>
          <w:szCs w:val="28"/>
          <w:lang w:eastAsia="en-US"/>
        </w:rPr>
        <w:t>Диагностика профессиональных дефицитов педагогических кадров таких показателей</w:t>
      </w:r>
      <w:r w:rsidR="005D2A0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5D2A09" w:rsidRPr="00DF15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как осознанное понимание понятий «информационная</w:t>
      </w:r>
      <w:r w:rsidR="005D2A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D2A09" w:rsidRPr="00DF1540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безопасность»</w:t>
      </w:r>
      <w:r w:rsidR="005D2A0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5D2A09" w:rsidRPr="00DF15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="005D2A09" w:rsidRPr="00DF1540">
        <w:rPr>
          <w:rFonts w:ascii="Times New Roman" w:eastAsiaTheme="minorHAnsi" w:hAnsi="Times New Roman" w:cs="Times New Roman"/>
          <w:sz w:val="28"/>
          <w:szCs w:val="28"/>
          <w:lang w:eastAsia="en-US"/>
        </w:rPr>
        <w:t>медиаграмотность</w:t>
      </w:r>
      <w:proofErr w:type="spellEnd"/>
      <w:r w:rsidR="005D2A09" w:rsidRPr="00DF1540">
        <w:rPr>
          <w:rFonts w:ascii="Times New Roman" w:eastAsiaTheme="minorHAnsi" w:hAnsi="Times New Roman" w:cs="Times New Roman"/>
          <w:sz w:val="28"/>
          <w:szCs w:val="28"/>
          <w:lang w:eastAsia="en-US"/>
        </w:rPr>
        <w:t>», «</w:t>
      </w:r>
      <w:proofErr w:type="spellStart"/>
      <w:r w:rsidR="005D2A09" w:rsidRPr="00DF1540">
        <w:rPr>
          <w:rFonts w:ascii="Times New Roman" w:eastAsiaTheme="minorHAnsi" w:hAnsi="Times New Roman" w:cs="Times New Roman"/>
          <w:sz w:val="28"/>
          <w:szCs w:val="28"/>
          <w:lang w:eastAsia="en-US"/>
        </w:rPr>
        <w:t>медиакультура</w:t>
      </w:r>
      <w:proofErr w:type="spellEnd"/>
      <w:r w:rsidR="005D2A09" w:rsidRPr="00DF1540">
        <w:rPr>
          <w:rFonts w:ascii="Times New Roman" w:eastAsiaTheme="minorHAnsi" w:hAnsi="Times New Roman" w:cs="Times New Roman"/>
          <w:sz w:val="28"/>
          <w:szCs w:val="28"/>
          <w:lang w:eastAsia="en-US"/>
        </w:rPr>
        <w:t>», а также использование информационного медиа-контента как ресурса формирования базовых ценностей</w:t>
      </w:r>
      <w:r w:rsidR="005D2A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D2A09" w:rsidRPr="00DF1540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воспитания у дошкольников, позволили зафиксировать актуальную проблематику данного направления работы, и в свою очередь еще раз доказав значимость</w:t>
      </w:r>
      <w:r w:rsidR="005D2A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D2A09" w:rsidRPr="00DF1540">
        <w:rPr>
          <w:rFonts w:ascii="Times New Roman" w:eastAsiaTheme="minorHAnsi" w:hAnsi="Times New Roman" w:cs="Times New Roman"/>
          <w:sz w:val="28"/>
          <w:szCs w:val="28"/>
          <w:lang w:eastAsia="en-US"/>
        </w:rPr>
        <w:t>выбранной нами темы для федерального инновационного проекта. У 71 % педагогических кадров, прошедших диагностику, зафиксирован уровень ниже среднего</w:t>
      </w:r>
      <w:r w:rsidR="005D2A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D2A09" w:rsidRPr="00DF15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понятийном </w:t>
      </w:r>
      <w:proofErr w:type="gramStart"/>
      <w:r w:rsidR="005D2A09" w:rsidRPr="00DF1540">
        <w:rPr>
          <w:rFonts w:ascii="Times New Roman" w:eastAsiaTheme="minorHAnsi" w:hAnsi="Times New Roman" w:cs="Times New Roman"/>
          <w:sz w:val="28"/>
          <w:szCs w:val="28"/>
          <w:lang w:eastAsia="en-US"/>
        </w:rPr>
        <w:t>аппарате ,</w:t>
      </w:r>
      <w:proofErr w:type="gramEnd"/>
      <w:r w:rsidR="005D2A09" w:rsidRPr="00DF15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что вносит деформацию не только в трактовку на уровне педагогического сообщества. </w:t>
      </w:r>
    </w:p>
    <w:p w14:paraId="358E999E" w14:textId="08062F91" w:rsidR="005D2A09" w:rsidRDefault="005D2A09" w:rsidP="005D2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154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Работа по данным направлениям и определила точки роста во многих дошкольных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1540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образовательных организациях края и на территориях организаций – соисполнителей.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50BB6B4D" w14:textId="49E3A352" w:rsidR="00DB03C7" w:rsidRPr="005D2A09" w:rsidRDefault="005D2A09" w:rsidP="00CC5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Институтом развития образования б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ыло запланировано разработать дополнительную программу повышения квалификации для педагогических кадров.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Программа повышения квалификации, которая планируется в разработку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рамках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повышения эффективности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реализации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инновационного проекта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будет учитывать выявленные дефициты.</w:t>
      </w:r>
    </w:p>
    <w:p w14:paraId="7EDAF21C" w14:textId="10E62B21" w:rsidR="006E0A9F" w:rsidRPr="00CC5F5D" w:rsidRDefault="006E0A9F" w:rsidP="009835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Вторым этапом промежуточного мониторинга во второ</w:t>
      </w:r>
      <w:r w:rsidR="00DB03C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 полугодии реализации прое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кта</w:t>
      </w:r>
      <w:r w:rsidR="00DB03C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согласно </w:t>
      </w:r>
      <w:proofErr w:type="gramStart"/>
      <w:r w:rsidR="00DB03C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критериям </w:t>
      </w:r>
      <w:r w:rsidR="00DB03C7" w:rsidRPr="00DB03C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контроля</w:t>
      </w:r>
      <w:proofErr w:type="gramEnd"/>
      <w:r w:rsidR="00DB03C7" w:rsidRPr="00DB03C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обеспечения достоверности результатов проекта (программы) в ходе его реализации в отчетном периоде</w:t>
      </w:r>
      <w:r w:rsidR="00DB03C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был проведен промежуточный мониторинг по критериям результативности проекта</w:t>
      </w:r>
      <w:r w:rsidR="00DF46D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(пункт 2.13 заявки)</w:t>
      </w:r>
      <w:r w:rsidR="00DB03C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14:paraId="23763060" w14:textId="77777777" w:rsidR="00741396" w:rsidRPr="00CC5F5D" w:rsidRDefault="00741396" w:rsidP="009835B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5F5D">
        <w:rPr>
          <w:rFonts w:ascii="Times New Roman" w:eastAsiaTheme="minorHAnsi" w:hAnsi="Times New Roman" w:cs="Times New Roman"/>
          <w:sz w:val="28"/>
          <w:szCs w:val="28"/>
          <w:lang w:eastAsia="en-US"/>
        </w:rPr>
        <w:t>Критерии результативности:</w:t>
      </w:r>
    </w:p>
    <w:p w14:paraId="082A9411" w14:textId="0F046A93" w:rsidR="00741396" w:rsidRPr="00CC5F5D" w:rsidRDefault="00741396" w:rsidP="00570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5F5D">
        <w:rPr>
          <w:rFonts w:ascii="Times New Roman" w:eastAsiaTheme="minorHAnsi" w:hAnsi="Times New Roman" w:cs="Times New Roman"/>
          <w:sz w:val="28"/>
          <w:szCs w:val="28"/>
          <w:lang w:eastAsia="en-US"/>
        </w:rPr>
        <w:t>Вовлеченность педагогического сообщества в реализацию проекта</w:t>
      </w:r>
      <w:r w:rsidR="008737A0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586E5445" w14:textId="647078A5" w:rsidR="005708AC" w:rsidRPr="00CC5F5D" w:rsidRDefault="005708AC" w:rsidP="00570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5F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1.1. Численность педагогических работников региона и за его пределами, задействованных в разработке, апробации и внедрении модели безопасного </w:t>
      </w:r>
      <w:proofErr w:type="spellStart"/>
      <w:r w:rsidRPr="00CC5F5D">
        <w:rPr>
          <w:rFonts w:ascii="Times New Roman" w:eastAsiaTheme="minorHAnsi" w:hAnsi="Times New Roman" w:cs="Times New Roman"/>
          <w:sz w:val="28"/>
          <w:szCs w:val="28"/>
          <w:lang w:eastAsia="en-US"/>
        </w:rPr>
        <w:t>медийно</w:t>
      </w:r>
      <w:proofErr w:type="spellEnd"/>
      <w:r w:rsidRPr="00CC5F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-информационного пространства посредством создания методических медиа-кейсов по формированию базовых ценностей для дошкольников в рамках </w:t>
      </w:r>
      <w:proofErr w:type="spellStart"/>
      <w:r w:rsidRPr="00CC5F5D">
        <w:rPr>
          <w:rFonts w:ascii="Times New Roman" w:eastAsiaTheme="minorHAnsi" w:hAnsi="Times New Roman" w:cs="Times New Roman"/>
          <w:sz w:val="28"/>
          <w:szCs w:val="28"/>
          <w:lang w:eastAsia="en-US"/>
        </w:rPr>
        <w:t>апробационных</w:t>
      </w:r>
      <w:proofErr w:type="spellEnd"/>
      <w:r w:rsidRPr="00CC5F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площадок и возможности</w:t>
      </w:r>
    </w:p>
    <w:p w14:paraId="65E7EBC3" w14:textId="77777777" w:rsidR="005708AC" w:rsidRPr="00CC5F5D" w:rsidRDefault="005708AC" w:rsidP="00570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5F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их сетевого партнерства (масштабирования апробации) на уровне других заинтересованных ДОО муниципальных образований края. В том числе посредством наставничества кураторов </w:t>
      </w:r>
      <w:proofErr w:type="spellStart"/>
      <w:r w:rsidRPr="00CC5F5D">
        <w:rPr>
          <w:rFonts w:ascii="Times New Roman" w:eastAsiaTheme="minorHAnsi" w:hAnsi="Times New Roman" w:cs="Times New Roman"/>
          <w:sz w:val="28"/>
          <w:szCs w:val="28"/>
          <w:lang w:eastAsia="en-US"/>
        </w:rPr>
        <w:t>апробационных</w:t>
      </w:r>
      <w:proofErr w:type="spellEnd"/>
      <w:r w:rsidRPr="00CC5F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площадок по внедрению новых элементов содержания образования и систем воспитания над пилотными садами организаций -соисполнителей субъектов РФ. </w:t>
      </w:r>
    </w:p>
    <w:p w14:paraId="3D3BAF9E" w14:textId="77777777" w:rsidR="005708AC" w:rsidRPr="00CC5F5D" w:rsidRDefault="005708AC" w:rsidP="00570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5F5D">
        <w:rPr>
          <w:rFonts w:ascii="Times New Roman" w:eastAsiaTheme="minorHAnsi" w:hAnsi="Times New Roman" w:cs="Times New Roman"/>
          <w:sz w:val="28"/>
          <w:szCs w:val="28"/>
          <w:lang w:eastAsia="en-US"/>
        </w:rPr>
        <w:t>1.2. Доля региональных инновационных площадок и инновационных площадок других регионов, проявивших заинтересованность проектом и вовлеченных в реализацию проекта посредством сетевого сотрудничества площадок, организации пилотного наставничества в ДОО региона.</w:t>
      </w:r>
    </w:p>
    <w:p w14:paraId="6E9210E5" w14:textId="77777777" w:rsidR="001B3C9D" w:rsidRPr="00CC5F5D" w:rsidRDefault="005708AC" w:rsidP="00570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5F5D">
        <w:rPr>
          <w:rFonts w:ascii="Times New Roman" w:eastAsiaTheme="minorHAnsi" w:hAnsi="Times New Roman" w:cs="Times New Roman"/>
          <w:sz w:val="28"/>
          <w:szCs w:val="28"/>
          <w:lang w:eastAsia="en-US"/>
        </w:rPr>
        <w:t>1.3. Доля педагогического сообщества, вступившего в профессиональный портал «Будущее за нами»,</w:t>
      </w:r>
    </w:p>
    <w:p w14:paraId="16F540BC" w14:textId="77777777" w:rsidR="008737A0" w:rsidRDefault="001B3C9D" w:rsidP="00570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5F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1.4. </w:t>
      </w:r>
      <w:r w:rsidR="008737A0" w:rsidRPr="00CC5F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Доля педагогических работников региона и за его пределами, задействованных в разработке, апробации и внедрении модели безопасного </w:t>
      </w:r>
      <w:proofErr w:type="spellStart"/>
      <w:r w:rsidR="008737A0" w:rsidRPr="00CC5F5D">
        <w:rPr>
          <w:rFonts w:ascii="Times New Roman" w:eastAsiaTheme="minorHAnsi" w:hAnsi="Times New Roman" w:cs="Times New Roman"/>
          <w:sz w:val="28"/>
          <w:szCs w:val="28"/>
          <w:lang w:eastAsia="en-US"/>
        </w:rPr>
        <w:t>медийно</w:t>
      </w:r>
      <w:proofErr w:type="spellEnd"/>
      <w:r w:rsidR="008737A0" w:rsidRPr="00CC5F5D">
        <w:rPr>
          <w:rFonts w:ascii="Times New Roman" w:eastAsiaTheme="minorHAnsi" w:hAnsi="Times New Roman" w:cs="Times New Roman"/>
          <w:sz w:val="28"/>
          <w:szCs w:val="28"/>
          <w:lang w:eastAsia="en-US"/>
        </w:rPr>
        <w:t>-информационного пространства для дошкольников</w:t>
      </w:r>
      <w:r w:rsidR="008737A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006FB83" w14:textId="09962B96" w:rsidR="00741396" w:rsidRPr="00CC5F5D" w:rsidRDefault="008737A0" w:rsidP="00873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1.5. </w:t>
      </w:r>
      <w:r w:rsidR="001B3C9D" w:rsidRPr="00CC5F5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Доля родительской общественности, использующих методические медиа-кейсы.</w:t>
      </w:r>
    </w:p>
    <w:p w14:paraId="5A83F0B1" w14:textId="77777777" w:rsidR="00CF107B" w:rsidRDefault="000E20A8" w:rsidP="00690E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F5D">
        <w:rPr>
          <w:rFonts w:ascii="Times New Roman" w:hAnsi="Times New Roman" w:cs="Times New Roman"/>
          <w:sz w:val="28"/>
          <w:szCs w:val="28"/>
        </w:rPr>
        <w:t xml:space="preserve">Для заполнения показателей промежуточного мониторинга реализации проекта </w:t>
      </w:r>
      <w:r w:rsidR="00690E7F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DA7DDF">
        <w:rPr>
          <w:rFonts w:ascii="Times New Roman" w:hAnsi="Times New Roman" w:cs="Times New Roman"/>
          <w:sz w:val="28"/>
          <w:szCs w:val="28"/>
        </w:rPr>
        <w:t>в организаци</w:t>
      </w:r>
      <w:r w:rsidR="00690E7F">
        <w:rPr>
          <w:rFonts w:ascii="Times New Roman" w:hAnsi="Times New Roman" w:cs="Times New Roman"/>
          <w:sz w:val="28"/>
          <w:szCs w:val="28"/>
        </w:rPr>
        <w:t>ях</w:t>
      </w:r>
      <w:r w:rsidR="00DA7DDF">
        <w:rPr>
          <w:rFonts w:ascii="Times New Roman" w:hAnsi="Times New Roman" w:cs="Times New Roman"/>
          <w:sz w:val="28"/>
          <w:szCs w:val="28"/>
        </w:rPr>
        <w:t xml:space="preserve"> соисполнител</w:t>
      </w:r>
      <w:r w:rsidR="00690E7F">
        <w:rPr>
          <w:rFonts w:ascii="Times New Roman" w:hAnsi="Times New Roman" w:cs="Times New Roman"/>
          <w:sz w:val="28"/>
          <w:szCs w:val="28"/>
        </w:rPr>
        <w:t>ях</w:t>
      </w:r>
      <w:r w:rsidR="00DA7DDF">
        <w:rPr>
          <w:rFonts w:ascii="Times New Roman" w:hAnsi="Times New Roman" w:cs="Times New Roman"/>
          <w:sz w:val="28"/>
          <w:szCs w:val="28"/>
        </w:rPr>
        <w:t xml:space="preserve"> была отправлена </w:t>
      </w:r>
      <w:proofErr w:type="gramStart"/>
      <w:r w:rsidRPr="00CC5F5D">
        <w:rPr>
          <w:rFonts w:ascii="Times New Roman" w:hAnsi="Times New Roman" w:cs="Times New Roman"/>
          <w:sz w:val="28"/>
          <w:szCs w:val="28"/>
        </w:rPr>
        <w:t>ссылк</w:t>
      </w:r>
      <w:r w:rsidR="00DA7DDF">
        <w:rPr>
          <w:rFonts w:ascii="Times New Roman" w:hAnsi="Times New Roman" w:cs="Times New Roman"/>
          <w:sz w:val="28"/>
          <w:szCs w:val="28"/>
        </w:rPr>
        <w:t xml:space="preserve">а </w:t>
      </w:r>
      <w:r w:rsidRPr="00CC5F5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C5F5D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https://forms.yandex.ru/u/672b541502848f85e3ee4377/</w:t>
        </w:r>
        <w:proofErr w:type="gramEnd"/>
      </w:hyperlink>
      <w:r w:rsidR="00DA7DDF">
        <w:rPr>
          <w:rFonts w:ascii="Times New Roman" w:hAnsi="Times New Roman" w:cs="Times New Roman"/>
          <w:sz w:val="28"/>
          <w:szCs w:val="28"/>
        </w:rPr>
        <w:t xml:space="preserve"> с разработанными п</w:t>
      </w:r>
      <w:r w:rsidRPr="00CC5F5D">
        <w:rPr>
          <w:rFonts w:ascii="Times New Roman" w:hAnsi="Times New Roman" w:cs="Times New Roman"/>
          <w:sz w:val="28"/>
          <w:szCs w:val="28"/>
        </w:rPr>
        <w:t>ояснения</w:t>
      </w:r>
      <w:r w:rsidR="00DA7DDF">
        <w:rPr>
          <w:rFonts w:ascii="Times New Roman" w:hAnsi="Times New Roman" w:cs="Times New Roman"/>
          <w:sz w:val="28"/>
          <w:szCs w:val="28"/>
        </w:rPr>
        <w:t>ми</w:t>
      </w:r>
      <w:r w:rsidRPr="00CC5F5D">
        <w:rPr>
          <w:rFonts w:ascii="Times New Roman" w:hAnsi="Times New Roman" w:cs="Times New Roman"/>
          <w:sz w:val="28"/>
          <w:szCs w:val="28"/>
        </w:rPr>
        <w:t xml:space="preserve"> по заполнению</w:t>
      </w:r>
      <w:r w:rsidR="00690E7F">
        <w:rPr>
          <w:rFonts w:ascii="Times New Roman" w:hAnsi="Times New Roman" w:cs="Times New Roman"/>
          <w:sz w:val="28"/>
          <w:szCs w:val="28"/>
        </w:rPr>
        <w:t xml:space="preserve"> показателей</w:t>
      </w:r>
      <w:r w:rsidR="00690E7F" w:rsidRPr="00690E7F">
        <w:rPr>
          <w:rFonts w:ascii="Times New Roman" w:hAnsi="Times New Roman" w:cs="Times New Roman"/>
          <w:sz w:val="28"/>
          <w:szCs w:val="28"/>
        </w:rPr>
        <w:t xml:space="preserve"> </w:t>
      </w:r>
      <w:r w:rsidR="00690E7F" w:rsidRPr="00CC5F5D">
        <w:rPr>
          <w:rFonts w:ascii="Times New Roman" w:hAnsi="Times New Roman" w:cs="Times New Roman"/>
          <w:sz w:val="28"/>
          <w:szCs w:val="28"/>
        </w:rPr>
        <w:t>промежуточного мониторинга реализации федерального инновационного проекта «Создание</w:t>
      </w:r>
      <w:r w:rsidR="00690E7F">
        <w:rPr>
          <w:rFonts w:ascii="Times New Roman" w:hAnsi="Times New Roman" w:cs="Times New Roman"/>
          <w:sz w:val="28"/>
          <w:szCs w:val="28"/>
        </w:rPr>
        <w:t xml:space="preserve"> </w:t>
      </w:r>
      <w:r w:rsidR="00690E7F" w:rsidRPr="00CC5F5D">
        <w:rPr>
          <w:rFonts w:ascii="Times New Roman" w:hAnsi="Times New Roman" w:cs="Times New Roman"/>
          <w:sz w:val="28"/>
          <w:szCs w:val="28"/>
        </w:rPr>
        <w:t>медиа-кейсов как методического ресурса для формирования базовых ценностей»</w:t>
      </w:r>
      <w:r w:rsidR="00690E7F">
        <w:rPr>
          <w:rFonts w:ascii="Times New Roman" w:hAnsi="Times New Roman" w:cs="Times New Roman"/>
          <w:sz w:val="28"/>
          <w:szCs w:val="28"/>
        </w:rPr>
        <w:t>.</w:t>
      </w:r>
      <w:r w:rsidR="00C202C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page" w:horzAnchor="margin" w:tblpY="1561"/>
        <w:tblW w:w="0" w:type="auto"/>
        <w:tblLook w:val="04A0" w:firstRow="1" w:lastRow="0" w:firstColumn="1" w:lastColumn="0" w:noHBand="0" w:noVBand="1"/>
      </w:tblPr>
      <w:tblGrid>
        <w:gridCol w:w="562"/>
        <w:gridCol w:w="10358"/>
        <w:gridCol w:w="3640"/>
      </w:tblGrid>
      <w:tr w:rsidR="00E463D7" w:rsidRPr="00DF46DC" w14:paraId="0256E6AF" w14:textId="77777777" w:rsidTr="00BF504F">
        <w:tc>
          <w:tcPr>
            <w:tcW w:w="562" w:type="dxa"/>
          </w:tcPr>
          <w:p w14:paraId="7920062B" w14:textId="77777777" w:rsidR="00E463D7" w:rsidRPr="00E463D7" w:rsidRDefault="00E463D7" w:rsidP="00BF504F">
            <w:pPr>
              <w:spacing w:after="0"/>
              <w:rPr>
                <w:rFonts w:ascii="Times New Roman" w:hAnsi="Times New Roman" w:cs="Times New Roman"/>
              </w:rPr>
            </w:pPr>
            <w:r w:rsidRPr="00E463D7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10358" w:type="dxa"/>
          </w:tcPr>
          <w:p w14:paraId="5C999781" w14:textId="77777777" w:rsidR="00E463D7" w:rsidRPr="00E463D7" w:rsidRDefault="00E463D7" w:rsidP="00BF504F">
            <w:pPr>
              <w:spacing w:after="0"/>
              <w:jc w:val="center"/>
            </w:pPr>
            <w:r w:rsidRPr="00E463D7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3640" w:type="dxa"/>
          </w:tcPr>
          <w:p w14:paraId="0B5621AF" w14:textId="77777777" w:rsidR="00E463D7" w:rsidRPr="00E463D7" w:rsidRDefault="00E463D7" w:rsidP="00BF504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63D7">
              <w:rPr>
                <w:rFonts w:ascii="Times New Roman" w:hAnsi="Times New Roman" w:cs="Times New Roman"/>
                <w:b/>
              </w:rPr>
              <w:t>Доля (Численность)</w:t>
            </w:r>
          </w:p>
        </w:tc>
      </w:tr>
      <w:tr w:rsidR="00E463D7" w:rsidRPr="00DF46DC" w14:paraId="5AC13B00" w14:textId="77777777" w:rsidTr="00BF504F">
        <w:tc>
          <w:tcPr>
            <w:tcW w:w="562" w:type="dxa"/>
          </w:tcPr>
          <w:p w14:paraId="5ADC6C36" w14:textId="77777777" w:rsidR="00E463D7" w:rsidRPr="00E463D7" w:rsidRDefault="00E463D7" w:rsidP="00BF504F">
            <w:pPr>
              <w:spacing w:after="0"/>
              <w:rPr>
                <w:rFonts w:ascii="Times New Roman" w:hAnsi="Times New Roman" w:cs="Times New Roman"/>
              </w:rPr>
            </w:pPr>
            <w:r w:rsidRPr="00E463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358" w:type="dxa"/>
          </w:tcPr>
          <w:p w14:paraId="55304D01" w14:textId="77777777" w:rsidR="00E463D7" w:rsidRPr="00E463D7" w:rsidRDefault="00E463D7" w:rsidP="00BF50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E463D7">
              <w:rPr>
                <w:rFonts w:ascii="Times New Roman" w:hAnsi="Times New Roman" w:cs="Times New Roman"/>
                <w:i/>
              </w:rPr>
              <w:t>Доля (численность) ДОО - региональных инновационных площадок в статусе и ведущих инновационную деятельность на институциональном уровне, проявивших заинтересованность проектом и вовлеченных в реализацию федерального инновационного проекта.</w:t>
            </w:r>
          </w:p>
        </w:tc>
        <w:tc>
          <w:tcPr>
            <w:tcW w:w="3640" w:type="dxa"/>
          </w:tcPr>
          <w:p w14:paraId="3906F3BC" w14:textId="77777777" w:rsidR="00E463D7" w:rsidRPr="00E463D7" w:rsidRDefault="00E463D7" w:rsidP="00BF504F">
            <w:pPr>
              <w:spacing w:after="0"/>
            </w:pPr>
          </w:p>
        </w:tc>
      </w:tr>
      <w:tr w:rsidR="00E463D7" w:rsidRPr="00DF46DC" w14:paraId="3801C5FA" w14:textId="77777777" w:rsidTr="00BF504F">
        <w:tc>
          <w:tcPr>
            <w:tcW w:w="562" w:type="dxa"/>
          </w:tcPr>
          <w:p w14:paraId="420168AF" w14:textId="77777777" w:rsidR="00E463D7" w:rsidRPr="00E463D7" w:rsidRDefault="00E463D7" w:rsidP="00BF504F">
            <w:pPr>
              <w:spacing w:after="0"/>
              <w:rPr>
                <w:rFonts w:ascii="Times New Roman" w:hAnsi="Times New Roman" w:cs="Times New Roman"/>
              </w:rPr>
            </w:pPr>
            <w:r w:rsidRPr="00E463D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358" w:type="dxa"/>
          </w:tcPr>
          <w:p w14:paraId="4B19DAD0" w14:textId="77777777" w:rsidR="00E463D7" w:rsidRPr="00E463D7" w:rsidRDefault="00E463D7" w:rsidP="00BF504F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</w:rPr>
            </w:pPr>
            <w:r w:rsidRPr="00E463D7">
              <w:rPr>
                <w:rFonts w:ascii="Times New Roman" w:hAnsi="Times New Roman" w:cs="Times New Roman"/>
                <w:i/>
              </w:rPr>
              <w:t>Доля (численность) педагогического сообщества, вступившего в профессиональный портал «Будущее за нами»</w:t>
            </w:r>
          </w:p>
        </w:tc>
        <w:tc>
          <w:tcPr>
            <w:tcW w:w="3640" w:type="dxa"/>
          </w:tcPr>
          <w:p w14:paraId="39EC4437" w14:textId="77777777" w:rsidR="00E463D7" w:rsidRPr="00E463D7" w:rsidRDefault="00E463D7" w:rsidP="00BF504F">
            <w:pPr>
              <w:spacing w:after="0"/>
            </w:pPr>
          </w:p>
        </w:tc>
      </w:tr>
      <w:tr w:rsidR="00E463D7" w:rsidRPr="00DF46DC" w14:paraId="210B945D" w14:textId="77777777" w:rsidTr="00BF504F">
        <w:tc>
          <w:tcPr>
            <w:tcW w:w="562" w:type="dxa"/>
          </w:tcPr>
          <w:p w14:paraId="3714D30D" w14:textId="77777777" w:rsidR="00E463D7" w:rsidRPr="00E463D7" w:rsidRDefault="00E463D7" w:rsidP="00BF504F">
            <w:pPr>
              <w:spacing w:after="0"/>
              <w:rPr>
                <w:rFonts w:ascii="Times New Roman" w:hAnsi="Times New Roman" w:cs="Times New Roman"/>
              </w:rPr>
            </w:pPr>
            <w:r w:rsidRPr="00E463D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358" w:type="dxa"/>
          </w:tcPr>
          <w:p w14:paraId="34F15B49" w14:textId="77777777" w:rsidR="00E463D7" w:rsidRPr="00E463D7" w:rsidRDefault="00E463D7" w:rsidP="00BF50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E463D7">
              <w:rPr>
                <w:rFonts w:ascii="Times New Roman" w:hAnsi="Times New Roman" w:cs="Times New Roman"/>
                <w:i/>
              </w:rPr>
              <w:t xml:space="preserve">Доля (численность) педагогических работников региона и за его пределами, задействованных в разработке, апробации и внедрении модели безопасного </w:t>
            </w:r>
            <w:proofErr w:type="spellStart"/>
            <w:r w:rsidRPr="00E463D7">
              <w:rPr>
                <w:rFonts w:ascii="Times New Roman" w:hAnsi="Times New Roman" w:cs="Times New Roman"/>
                <w:i/>
              </w:rPr>
              <w:t>медийно</w:t>
            </w:r>
            <w:proofErr w:type="spellEnd"/>
            <w:r w:rsidRPr="00E463D7">
              <w:rPr>
                <w:rFonts w:ascii="Times New Roman" w:hAnsi="Times New Roman" w:cs="Times New Roman"/>
                <w:i/>
              </w:rPr>
              <w:t>-информационного пространства для дошкольников.</w:t>
            </w:r>
          </w:p>
        </w:tc>
        <w:tc>
          <w:tcPr>
            <w:tcW w:w="3640" w:type="dxa"/>
          </w:tcPr>
          <w:p w14:paraId="2A47D6E3" w14:textId="77777777" w:rsidR="00E463D7" w:rsidRPr="00E463D7" w:rsidRDefault="00E463D7" w:rsidP="00BF504F">
            <w:pPr>
              <w:spacing w:after="0"/>
            </w:pPr>
          </w:p>
        </w:tc>
      </w:tr>
      <w:tr w:rsidR="00E463D7" w:rsidRPr="00DF46DC" w14:paraId="0C913D23" w14:textId="77777777" w:rsidTr="00BF504F">
        <w:tc>
          <w:tcPr>
            <w:tcW w:w="562" w:type="dxa"/>
          </w:tcPr>
          <w:p w14:paraId="54477BB7" w14:textId="77777777" w:rsidR="00E463D7" w:rsidRPr="00E463D7" w:rsidRDefault="00E463D7" w:rsidP="00BF50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58" w:type="dxa"/>
          </w:tcPr>
          <w:p w14:paraId="556203B4" w14:textId="77777777" w:rsidR="00E463D7" w:rsidRPr="00E463D7" w:rsidRDefault="00E463D7" w:rsidP="00BF50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bookmarkStart w:id="3" w:name="_Hlk181790554"/>
            <w:r w:rsidRPr="00E463D7">
              <w:rPr>
                <w:rFonts w:ascii="Times New Roman" w:hAnsi="Times New Roman" w:cs="Times New Roman"/>
                <w:i/>
              </w:rPr>
              <w:t>Доля (численность) родительской общественности, использующих методические медиа-кейсы</w:t>
            </w:r>
          </w:p>
          <w:bookmarkEnd w:id="3"/>
          <w:p w14:paraId="2C3503A2" w14:textId="77777777" w:rsidR="00E463D7" w:rsidRPr="00E463D7" w:rsidRDefault="00E463D7" w:rsidP="00BF504F">
            <w:pPr>
              <w:spacing w:after="0"/>
              <w:jc w:val="both"/>
              <w:rPr>
                <w:i/>
              </w:rPr>
            </w:pPr>
            <w:r w:rsidRPr="00E463D7">
              <w:rPr>
                <w:rFonts w:ascii="Times New Roman" w:hAnsi="Times New Roman" w:cs="Times New Roman"/>
                <w:i/>
              </w:rPr>
              <w:t>для формирования базовых ценностей воспитания у дошкольников</w:t>
            </w:r>
          </w:p>
        </w:tc>
        <w:tc>
          <w:tcPr>
            <w:tcW w:w="3640" w:type="dxa"/>
          </w:tcPr>
          <w:p w14:paraId="08D91F45" w14:textId="77777777" w:rsidR="00E463D7" w:rsidRPr="00E463D7" w:rsidRDefault="00E463D7" w:rsidP="00BF504F">
            <w:pPr>
              <w:spacing w:after="0"/>
            </w:pPr>
          </w:p>
        </w:tc>
      </w:tr>
    </w:tbl>
    <w:p w14:paraId="54FFEC7B" w14:textId="77777777" w:rsidR="00E463D7" w:rsidRDefault="00E463D7" w:rsidP="00690E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E31B7E" w14:textId="77777777" w:rsidR="00E463D7" w:rsidRDefault="00E463D7" w:rsidP="00690E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A277F5" w14:textId="77777777" w:rsidR="00E463D7" w:rsidRDefault="00E463D7" w:rsidP="00690E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C2F64E" w14:textId="12B58E92" w:rsidR="00690E7F" w:rsidRDefault="00C202CD" w:rsidP="00690E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показатели промежуточного мониторинга были внесены дополнительные корректировки в плане выявления в первый год реализации федерального инновационного проекта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доли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общего количества, а численности</w:t>
      </w:r>
      <w:r w:rsidR="00E24CA0">
        <w:rPr>
          <w:rFonts w:ascii="Times New Roman" w:hAnsi="Times New Roman" w:cs="Times New Roman"/>
          <w:sz w:val="28"/>
          <w:szCs w:val="28"/>
        </w:rPr>
        <w:t xml:space="preserve"> включенных в проект категорий участников проекта (дошкольные образовательные организации, педагоги, родители)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количественном эквиваленте. </w:t>
      </w:r>
    </w:p>
    <w:p w14:paraId="556F7DE5" w14:textId="540BBD40" w:rsidR="00690E7F" w:rsidRPr="00CC5F5D" w:rsidRDefault="00690E7F" w:rsidP="00690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промежуточного мониторинга были получены следующие</w:t>
      </w:r>
      <w:r w:rsidR="00C202CD">
        <w:rPr>
          <w:rFonts w:ascii="Times New Roman" w:hAnsi="Times New Roman" w:cs="Times New Roman"/>
          <w:sz w:val="28"/>
          <w:szCs w:val="28"/>
        </w:rPr>
        <w:t xml:space="preserve"> статистические</w:t>
      </w:r>
      <w:r>
        <w:rPr>
          <w:rFonts w:ascii="Times New Roman" w:hAnsi="Times New Roman" w:cs="Times New Roman"/>
          <w:sz w:val="28"/>
          <w:szCs w:val="28"/>
        </w:rPr>
        <w:t xml:space="preserve"> данные</w:t>
      </w:r>
      <w:r w:rsidR="008A1E01">
        <w:rPr>
          <w:rFonts w:ascii="Times New Roman" w:hAnsi="Times New Roman" w:cs="Times New Roman"/>
          <w:sz w:val="28"/>
          <w:szCs w:val="28"/>
        </w:rPr>
        <w:t>:</w:t>
      </w:r>
    </w:p>
    <w:p w14:paraId="04CB7B0B" w14:textId="6168172A" w:rsidR="000E20A8" w:rsidRDefault="00164458" w:rsidP="00164458">
      <w:pPr>
        <w:pStyle w:val="a5"/>
        <w:autoSpaceDE w:val="0"/>
        <w:autoSpaceDN w:val="0"/>
        <w:adjustRightInd w:val="0"/>
        <w:spacing w:line="254" w:lineRule="auto"/>
        <w:ind w:left="709"/>
        <w:jc w:val="both"/>
        <w:rPr>
          <w:sz w:val="28"/>
          <w:szCs w:val="28"/>
        </w:rPr>
      </w:pPr>
      <w:bookmarkStart w:id="4" w:name="_GoBack"/>
      <w:r w:rsidRPr="00164458">
        <w:rPr>
          <w:noProof/>
          <w:sz w:val="28"/>
          <w:szCs w:val="28"/>
        </w:rPr>
        <w:lastRenderedPageBreak/>
        <w:drawing>
          <wp:inline distT="0" distB="0" distL="0" distR="0" wp14:anchorId="1CBF8FD1" wp14:editId="791337A5">
            <wp:extent cx="7467600" cy="43637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8386" cy="436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 w14:paraId="35052B29" w14:textId="77777777" w:rsidR="001B3325" w:rsidRDefault="001B3325" w:rsidP="00164458">
      <w:pPr>
        <w:pStyle w:val="a5"/>
        <w:autoSpaceDE w:val="0"/>
        <w:autoSpaceDN w:val="0"/>
        <w:adjustRightInd w:val="0"/>
        <w:spacing w:line="254" w:lineRule="auto"/>
        <w:ind w:left="709"/>
        <w:jc w:val="both"/>
        <w:rPr>
          <w:sz w:val="28"/>
          <w:szCs w:val="28"/>
        </w:rPr>
      </w:pPr>
    </w:p>
    <w:p w14:paraId="66C40458" w14:textId="0051CCBF" w:rsidR="007351A5" w:rsidRPr="00DA41FD" w:rsidRDefault="00DF1540" w:rsidP="005D2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15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351A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E463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результатам промежуточного мониторинга были </w:t>
      </w:r>
      <w:r w:rsidR="001B3325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определены дефициты в численности</w:t>
      </w:r>
      <w:r w:rsidR="00E463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педагогов и родительской общественности </w:t>
      </w:r>
      <w:r w:rsidR="009D75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включенных </w:t>
      </w:r>
      <w:r w:rsidR="00E463D7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реализ</w:t>
      </w:r>
      <w:r w:rsidR="009D75EF">
        <w:rPr>
          <w:rFonts w:ascii="Times New Roman" w:eastAsiaTheme="minorHAnsi" w:hAnsi="Times New Roman" w:cs="Times New Roman"/>
          <w:sz w:val="28"/>
          <w:szCs w:val="28"/>
          <w:lang w:eastAsia="en-US"/>
        </w:rPr>
        <w:t>ацию</w:t>
      </w:r>
      <w:r w:rsidR="00E463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проекта. Намечено разработать </w:t>
      </w:r>
      <w:r w:rsidR="001B3325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мероприятий на 2025 год реализации проекта с целью масштабирования опыта работы и максимальное вовлечение педагогов региона и за его пределами.</w:t>
      </w:r>
    </w:p>
    <w:sectPr w:rsidR="007351A5" w:rsidRPr="00DA41FD" w:rsidSect="00690E7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71E66"/>
    <w:multiLevelType w:val="hybridMultilevel"/>
    <w:tmpl w:val="6980E7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FD51A0"/>
    <w:multiLevelType w:val="multilevel"/>
    <w:tmpl w:val="207A5E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D50BF8"/>
    <w:multiLevelType w:val="hybridMultilevel"/>
    <w:tmpl w:val="293E7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7C"/>
    <w:rsid w:val="000E20A8"/>
    <w:rsid w:val="00164458"/>
    <w:rsid w:val="001B3325"/>
    <w:rsid w:val="001B3C9D"/>
    <w:rsid w:val="002F5394"/>
    <w:rsid w:val="003709EA"/>
    <w:rsid w:val="004D1A77"/>
    <w:rsid w:val="00547916"/>
    <w:rsid w:val="00560FF1"/>
    <w:rsid w:val="005708AC"/>
    <w:rsid w:val="005D2A09"/>
    <w:rsid w:val="00657674"/>
    <w:rsid w:val="00690E7F"/>
    <w:rsid w:val="006E0A9F"/>
    <w:rsid w:val="007351A5"/>
    <w:rsid w:val="00741396"/>
    <w:rsid w:val="008737A0"/>
    <w:rsid w:val="008A1E01"/>
    <w:rsid w:val="008E28E1"/>
    <w:rsid w:val="008F2B7C"/>
    <w:rsid w:val="009835B5"/>
    <w:rsid w:val="009D75EF"/>
    <w:rsid w:val="00AB7ADE"/>
    <w:rsid w:val="00AF3777"/>
    <w:rsid w:val="00B4657E"/>
    <w:rsid w:val="00C202CD"/>
    <w:rsid w:val="00C46617"/>
    <w:rsid w:val="00C73971"/>
    <w:rsid w:val="00CC5F5D"/>
    <w:rsid w:val="00CF107B"/>
    <w:rsid w:val="00DA41FD"/>
    <w:rsid w:val="00DA7DDF"/>
    <w:rsid w:val="00DB03C7"/>
    <w:rsid w:val="00DF1540"/>
    <w:rsid w:val="00DF46DC"/>
    <w:rsid w:val="00E24CA0"/>
    <w:rsid w:val="00E463D7"/>
    <w:rsid w:val="00F25E29"/>
    <w:rsid w:val="00F726EA"/>
    <w:rsid w:val="00FB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6A90"/>
  <w15:chartTrackingRefBased/>
  <w15:docId w15:val="{9C29C769-2250-4839-A9FB-1FF1A9D2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9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47916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4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E20A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E20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orms.yandex.ru/u/672b541502848f85e3ee437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Светлана Бешук</cp:lastModifiedBy>
  <cp:revision>21</cp:revision>
  <dcterms:created xsi:type="dcterms:W3CDTF">2024-11-20T12:16:00Z</dcterms:created>
  <dcterms:modified xsi:type="dcterms:W3CDTF">2024-12-16T17:32:00Z</dcterms:modified>
</cp:coreProperties>
</file>