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5E5B5E">
        <w:rPr>
          <w:b/>
        </w:rPr>
        <w:t xml:space="preserve">10 </w:t>
      </w:r>
      <w:r w:rsidR="005868EB" w:rsidRPr="005868EB">
        <w:rPr>
          <w:b/>
        </w:rPr>
        <w:t>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75369F">
        <w:rPr>
          <w:szCs w:val="28"/>
        </w:rPr>
        <w:t>11 апреля 2025 года</w:t>
      </w:r>
      <w:r w:rsidR="00826511" w:rsidRPr="0075369F">
        <w:rPr>
          <w:szCs w:val="28"/>
        </w:rPr>
        <w:t xml:space="preserve"> участниками ВПР </w:t>
      </w:r>
      <w:r w:rsidR="008A3327" w:rsidRPr="0075369F">
        <w:rPr>
          <w:szCs w:val="28"/>
        </w:rPr>
        <w:t xml:space="preserve">по </w:t>
      </w:r>
      <w:r w:rsidR="00270DA6">
        <w:rPr>
          <w:szCs w:val="28"/>
        </w:rPr>
        <w:t>немецкому</w:t>
      </w:r>
      <w:bookmarkStart w:id="0" w:name="_GoBack"/>
      <w:bookmarkEnd w:id="0"/>
      <w:r w:rsidR="008A3327" w:rsidRPr="0075369F">
        <w:rPr>
          <w:szCs w:val="28"/>
        </w:rPr>
        <w:t xml:space="preserve"> языку </w:t>
      </w:r>
      <w:r w:rsidR="00826511" w:rsidRPr="0075369F">
        <w:rPr>
          <w:szCs w:val="28"/>
        </w:rPr>
        <w:t xml:space="preserve">стали обучающиеся </w:t>
      </w:r>
      <w:r w:rsidR="004205DC" w:rsidRPr="0075369F">
        <w:rPr>
          <w:szCs w:val="28"/>
        </w:rPr>
        <w:t>10</w:t>
      </w:r>
      <w:r w:rsidR="00826511" w:rsidRPr="0075369F">
        <w:rPr>
          <w:szCs w:val="28"/>
        </w:rPr>
        <w:t xml:space="preserve"> классов</w:t>
      </w:r>
      <w:r w:rsidRPr="0075369F">
        <w:rPr>
          <w:szCs w:val="28"/>
        </w:rPr>
        <w:t xml:space="preserve"> из </w:t>
      </w:r>
      <w:r w:rsidR="004205DC" w:rsidRPr="0075369F">
        <w:rPr>
          <w:szCs w:val="28"/>
        </w:rPr>
        <w:t>9</w:t>
      </w:r>
      <w:r w:rsidRPr="0075369F">
        <w:rPr>
          <w:szCs w:val="28"/>
        </w:rPr>
        <w:t xml:space="preserve"> муниципальных образований Краснодарского края: </w:t>
      </w:r>
      <w:r w:rsidR="007E359D" w:rsidRPr="0075369F">
        <w:rPr>
          <w:szCs w:val="28"/>
        </w:rPr>
        <w:t>Ла</w:t>
      </w:r>
      <w:r w:rsidR="00297FF1" w:rsidRPr="0075369F">
        <w:rPr>
          <w:szCs w:val="28"/>
        </w:rPr>
        <w:t>бинский район</w:t>
      </w:r>
      <w:r w:rsidR="004205DC" w:rsidRPr="0075369F">
        <w:rPr>
          <w:szCs w:val="28"/>
        </w:rPr>
        <w:t xml:space="preserve">, </w:t>
      </w:r>
      <w:proofErr w:type="spellStart"/>
      <w:r w:rsidR="004205DC" w:rsidRPr="0075369F">
        <w:rPr>
          <w:szCs w:val="28"/>
        </w:rPr>
        <w:t>Абинский</w:t>
      </w:r>
      <w:proofErr w:type="spellEnd"/>
      <w:r w:rsidR="004205DC" w:rsidRPr="0075369F">
        <w:rPr>
          <w:szCs w:val="28"/>
        </w:rPr>
        <w:t xml:space="preserve"> район, </w:t>
      </w:r>
      <w:proofErr w:type="spellStart"/>
      <w:r w:rsidR="004205DC" w:rsidRPr="0075369F">
        <w:rPr>
          <w:szCs w:val="28"/>
        </w:rPr>
        <w:t>Белоглинский</w:t>
      </w:r>
      <w:proofErr w:type="spellEnd"/>
      <w:r w:rsidR="004205DC" w:rsidRPr="0075369F">
        <w:rPr>
          <w:szCs w:val="28"/>
        </w:rPr>
        <w:t xml:space="preserve"> район</w:t>
      </w:r>
      <w:r w:rsidR="00297FF1" w:rsidRPr="0075369F">
        <w:rPr>
          <w:szCs w:val="28"/>
        </w:rPr>
        <w:t>,</w:t>
      </w:r>
      <w:r w:rsidR="004205DC" w:rsidRPr="0075369F">
        <w:rPr>
          <w:szCs w:val="28"/>
        </w:rPr>
        <w:t xml:space="preserve"> </w:t>
      </w:r>
      <w:proofErr w:type="spellStart"/>
      <w:r w:rsidR="004205DC" w:rsidRPr="0075369F">
        <w:rPr>
          <w:szCs w:val="28"/>
        </w:rPr>
        <w:t>Выселковский</w:t>
      </w:r>
      <w:proofErr w:type="spellEnd"/>
      <w:r w:rsidRPr="0075369F">
        <w:rPr>
          <w:szCs w:val="28"/>
        </w:rPr>
        <w:t xml:space="preserve"> район, </w:t>
      </w:r>
      <w:proofErr w:type="spellStart"/>
      <w:r w:rsidR="00297FF1" w:rsidRPr="0075369F">
        <w:rPr>
          <w:szCs w:val="28"/>
        </w:rPr>
        <w:t>Брюховецкий</w:t>
      </w:r>
      <w:proofErr w:type="spellEnd"/>
      <w:r w:rsidR="001C71AB" w:rsidRPr="0075369F">
        <w:rPr>
          <w:szCs w:val="28"/>
        </w:rPr>
        <w:t xml:space="preserve"> район, </w:t>
      </w:r>
      <w:r w:rsidR="0075369F" w:rsidRPr="0075369F">
        <w:rPr>
          <w:szCs w:val="28"/>
        </w:rPr>
        <w:t xml:space="preserve">Кущевский район, Мостовский район, </w:t>
      </w:r>
      <w:proofErr w:type="spellStart"/>
      <w:r w:rsidR="0075369F" w:rsidRPr="0075369F">
        <w:rPr>
          <w:szCs w:val="28"/>
        </w:rPr>
        <w:t>Староминский</w:t>
      </w:r>
      <w:proofErr w:type="spellEnd"/>
      <w:r w:rsidR="0075369F" w:rsidRPr="0075369F">
        <w:rPr>
          <w:szCs w:val="28"/>
        </w:rPr>
        <w:t xml:space="preserve"> район, </w:t>
      </w:r>
      <w:proofErr w:type="spellStart"/>
      <w:r w:rsidR="0075369F" w:rsidRPr="0075369F">
        <w:rPr>
          <w:szCs w:val="28"/>
        </w:rPr>
        <w:t>Щербиновский</w:t>
      </w:r>
      <w:proofErr w:type="spellEnd"/>
      <w:r w:rsidR="0075369F" w:rsidRPr="0075369F">
        <w:rPr>
          <w:szCs w:val="28"/>
        </w:rPr>
        <w:t xml:space="preserve"> район</w:t>
      </w:r>
      <w:r w:rsidR="008A3327" w:rsidRPr="0075369F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815B86" w:rsidRDefault="00815B86" w:rsidP="00815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Назначение ВПР по учебному предмету «Немецкий язык» – оценить качество общеобразовательной подготовки обучающихся 10 классов в соответствии с требованиями федерального государственного образовательного стандарта среднего общего образования (ФГОС СОО) и федеральной образовательной программы среднего общего образования (ФОП СОО).</w:t>
      </w:r>
    </w:p>
    <w:p w:rsidR="005E5B5E" w:rsidRPr="005E5B5E" w:rsidRDefault="005E5B5E" w:rsidP="00815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lastRenderedPageBreak/>
        <w:t>На выполнение работы по немецкому языку отводится два урока (не более 45 минут</w:t>
      </w:r>
      <w:r>
        <w:rPr>
          <w:szCs w:val="28"/>
        </w:rPr>
        <w:t xml:space="preserve"> </w:t>
      </w:r>
      <w:r w:rsidRPr="005E5B5E">
        <w:rPr>
          <w:szCs w:val="28"/>
        </w:rPr>
        <w:t>каждый). Работа состоит из двух частей и включает в себя 7 заданий.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Обе части работы могут выполняться в один день с перерывом не менее 10 минут или</w:t>
      </w:r>
      <w:r>
        <w:rPr>
          <w:szCs w:val="28"/>
        </w:rPr>
        <w:t xml:space="preserve"> </w:t>
      </w:r>
      <w:r w:rsidRPr="005E5B5E">
        <w:rPr>
          <w:szCs w:val="28"/>
        </w:rPr>
        <w:t>в разные дни.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При выполнении работы не разрешается пользоваться учебниками, рабочими</w:t>
      </w:r>
      <w:r>
        <w:rPr>
          <w:szCs w:val="28"/>
        </w:rPr>
        <w:t xml:space="preserve"> </w:t>
      </w:r>
      <w:r w:rsidRPr="005E5B5E">
        <w:rPr>
          <w:szCs w:val="28"/>
        </w:rPr>
        <w:t>тетрадями, справочниками и словарями.</w:t>
      </w:r>
    </w:p>
    <w:p w:rsid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t>При необходимости можно пользоваться черновиком. Записи в черновике</w:t>
      </w:r>
      <w:r>
        <w:rPr>
          <w:szCs w:val="28"/>
        </w:rPr>
        <w:t xml:space="preserve"> </w:t>
      </w:r>
      <w:r w:rsidRPr="005E5B5E">
        <w:rPr>
          <w:szCs w:val="28"/>
        </w:rPr>
        <w:t>проверяться и оцениваться не будут.</w:t>
      </w:r>
      <w:r>
        <w:rPr>
          <w:szCs w:val="28"/>
        </w:rPr>
        <w:t xml:space="preserve"> </w:t>
      </w:r>
    </w:p>
    <w:p w:rsid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szCs w:val="28"/>
        </w:rPr>
        <w:t>На выполнение заданий части 1 проверочной работы по немецкому языку отводится</w:t>
      </w:r>
      <w:r>
        <w:rPr>
          <w:szCs w:val="28"/>
        </w:rPr>
        <w:t xml:space="preserve"> </w:t>
      </w:r>
      <w:r w:rsidRPr="005E5B5E">
        <w:rPr>
          <w:szCs w:val="28"/>
        </w:rPr>
        <w:t>один урок (не более 45 минут). Часть 1 включает в себя 4 задания.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5E5B5E">
        <w:rPr>
          <w:rFonts w:ascii="TimesNewRoman" w:hAnsi="TimesNewRoman" w:cs="TimesNewRoman"/>
          <w:szCs w:val="28"/>
        </w:rPr>
        <w:t>На выполнение части 2 проверочной работы по немецкому языку отводится один урок</w:t>
      </w:r>
      <w:r>
        <w:rPr>
          <w:rFonts w:ascii="TimesNewRoman" w:hAnsi="TimesNewRoman" w:cs="TimesNewRoman"/>
          <w:szCs w:val="28"/>
        </w:rPr>
        <w:t xml:space="preserve"> </w:t>
      </w:r>
      <w:r w:rsidRPr="005E5B5E">
        <w:rPr>
          <w:rFonts w:ascii="TimesNewRoman" w:hAnsi="TimesNewRoman" w:cs="TimesNewRoman"/>
          <w:szCs w:val="28"/>
        </w:rPr>
        <w:t>(не более 45 минут). Часть 2 включает в себя 3 задания.</w:t>
      </w:r>
    </w:p>
    <w:p w:rsidR="004205DC" w:rsidRDefault="00815B86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 работе содержатся задания базового и повышенного уровней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 xml:space="preserve">сложности. </w:t>
      </w:r>
    </w:p>
    <w:p w:rsidR="00815B86" w:rsidRDefault="00815B86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 таблице представлено распределение заданий по уровням</w:t>
      </w:r>
      <w:r w:rsidR="004205DC">
        <w:rPr>
          <w:rFonts w:ascii="TimesNewRoman" w:hAnsi="TimesNewRoman" w:cs="TimesNewRoman"/>
          <w:szCs w:val="28"/>
        </w:rPr>
        <w:t xml:space="preserve"> с</w:t>
      </w:r>
      <w:r>
        <w:rPr>
          <w:rFonts w:ascii="TimesNewRoman" w:hAnsi="TimesNewRoman" w:cs="TimesNewRoman"/>
          <w:szCs w:val="28"/>
        </w:rPr>
        <w:t>ложности</w:t>
      </w:r>
      <w:r w:rsidR="004205DC">
        <w:rPr>
          <w:rFonts w:ascii="TimesNewRoman" w:hAnsi="TimesNewRoman" w:cs="TimesNewRoman"/>
          <w:szCs w:val="28"/>
        </w:rPr>
        <w:t>:</w:t>
      </w:r>
    </w:p>
    <w:p w:rsidR="004205DC" w:rsidRDefault="004205DC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7"/>
        <w:gridCol w:w="2977"/>
        <w:gridCol w:w="1907"/>
        <w:gridCol w:w="1955"/>
        <w:gridCol w:w="1915"/>
      </w:tblGrid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Уровень сложности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Процент максимального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балла за задания данного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уровня сложности от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максимального первичного</w:t>
            </w:r>
          </w:p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205DC">
              <w:rPr>
                <w:b/>
                <w:bCs/>
                <w:sz w:val="24"/>
                <w:szCs w:val="24"/>
              </w:rPr>
              <w:t>балла за всю работу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205DC">
              <w:rPr>
                <w:sz w:val="24"/>
                <w:szCs w:val="24"/>
              </w:rPr>
              <w:t>1.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205DC">
              <w:rPr>
                <w:sz w:val="24"/>
                <w:szCs w:val="24"/>
              </w:rPr>
              <w:t>2.</w:t>
            </w: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205DC" w:rsidTr="004205DC">
        <w:tc>
          <w:tcPr>
            <w:tcW w:w="427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6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00" w:type="pct"/>
          </w:tcPr>
          <w:p w:rsidR="004205DC" w:rsidRPr="004205DC" w:rsidRDefault="004205DC" w:rsidP="00420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205DC" w:rsidRDefault="004205DC" w:rsidP="00420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</w:p>
    <w:p w:rsid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1 нацелено на проверку умений воспринимать на слух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 понимать запрашиваемую информацию в тексте, содержащем некоторые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неизученные языковые явления. В задании необходимо выбрать для каждого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вопроса один ответ из трех предложенных в соответствии с прослушанным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текстом.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2 проверяет умения читать про себя и понимать основное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содержание текстов, содержащих отдельные неизученные языковые явления.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 задании требуется установить соответствие между текстами и рубриками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из предложенного списка. Каждую рубрику можно использовать только один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раз. Одна рубрика лишняя.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3 проверяет умения читать про себя и понимать структурно-смысловые связи в тексте. В задании требуется подобрать фрагменты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фраз из предложенного списка так, чтобы они грамматически и лексически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lastRenderedPageBreak/>
        <w:t>соответствовали фразе и тексту в целом. Каждому пропуску в тексте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соответствует только один фрагмент. Один фрагмент в предложенном списке</w:t>
      </w:r>
    </w:p>
    <w:p w:rsidR="00815B86" w:rsidRPr="00815B86" w:rsidRDefault="00815B86" w:rsidP="00815B8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815B86">
        <w:rPr>
          <w:szCs w:val="28"/>
        </w:rPr>
        <w:t>лишний.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4 проверяет навыки оперирования лексическими единицами в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коммуникативно значимом контексте. В задании требуется подобрать слово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из предложенного списка так, чтобы оно лексически соответствовало фразе 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тексту в целом. Каждому пропуску в тексте соответствует только одно слово.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Два слова в предложенном списке лишние.</w:t>
      </w:r>
    </w:p>
    <w:p w:rsidR="004205DC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5 проверяет навыки оперирования грамматическими формами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в коммуникативно-значимом контексте. В задании требуется заполнить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пропуски в связном тексте путем преобразования предложенной начальной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формы слова в нужную грамматическую форму.</w:t>
      </w:r>
      <w:r w:rsidR="004205DC">
        <w:rPr>
          <w:szCs w:val="28"/>
        </w:rPr>
        <w:t xml:space="preserve"> </w:t>
      </w:r>
    </w:p>
    <w:p w:rsidR="005E5B5E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815B86">
        <w:rPr>
          <w:szCs w:val="28"/>
        </w:rPr>
        <w:t>Задание 6 проверяет знания реалий стран изучаемого языка, а также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базовые знания о социокультурном портрете и культурном наследии этих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стран. Необходимо выбрать для каждого вопроса один ответ из четырех</w:t>
      </w:r>
      <w:r w:rsidR="004205DC">
        <w:rPr>
          <w:szCs w:val="28"/>
        </w:rPr>
        <w:t xml:space="preserve"> </w:t>
      </w:r>
      <w:r w:rsidRPr="00815B86">
        <w:rPr>
          <w:szCs w:val="28"/>
        </w:rPr>
        <w:t>предложенных.</w:t>
      </w:r>
    </w:p>
    <w:p w:rsidR="00815B86" w:rsidRPr="00815B86" w:rsidRDefault="00815B86" w:rsidP="00420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NewRoman" w:hAnsi="TimesNewRoman" w:cs="TimesNewRoman"/>
          <w:szCs w:val="28"/>
        </w:rPr>
        <w:t>Задание 7 нацелено на проверку умения писать электронное письмо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личного характера в ответ на письмо-стимул. В задании требуется отразить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все аспекты, указанные в задании (дать полные и точные ответы на три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вопроса и правильно задать два вопроса по указанной теме) с соблюдением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стилевого оформления речи и норм вежливости, принятых в стране</w:t>
      </w:r>
      <w:r w:rsidR="004205DC">
        <w:rPr>
          <w:rFonts w:ascii="TimesNewRoman" w:hAnsi="TimesNewRoman" w:cs="TimesNewRoman"/>
          <w:szCs w:val="28"/>
        </w:rPr>
        <w:t xml:space="preserve"> </w:t>
      </w:r>
      <w:r>
        <w:rPr>
          <w:rFonts w:ascii="TimesNewRoman" w:hAnsi="TimesNewRoman" w:cs="TimesNewRoman"/>
          <w:szCs w:val="28"/>
        </w:rPr>
        <w:t>изучаемого языка.</w:t>
      </w:r>
    </w:p>
    <w:p w:rsidR="004205DC" w:rsidRDefault="004205DC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 w:rsidRPr="005E5B5E">
        <w:rPr>
          <w:b/>
          <w:bCs/>
          <w:szCs w:val="28"/>
        </w:rPr>
        <w:t>Система оценивания проверочной работы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r w:rsidRPr="005E5B5E">
        <w:rPr>
          <w:b/>
          <w:bCs/>
          <w:szCs w:val="28"/>
        </w:rPr>
        <w:t>Часть 1</w:t>
      </w:r>
    </w:p>
    <w:p w:rsidR="005E5B5E" w:rsidRPr="005E5B5E" w:rsidRDefault="005E5B5E" w:rsidP="005E5B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Каждое из заданий 1–4 считается выполненным верно, если правильно указана</w:t>
      </w:r>
      <w:r>
        <w:rPr>
          <w:szCs w:val="28"/>
        </w:rPr>
        <w:t xml:space="preserve"> </w:t>
      </w:r>
      <w:r w:rsidRPr="005E5B5E">
        <w:rPr>
          <w:szCs w:val="28"/>
        </w:rPr>
        <w:t>последовательность цифр. В заданиях 1–4 участник получает 1 балл за каждое правильно</w:t>
      </w:r>
      <w:r>
        <w:rPr>
          <w:szCs w:val="28"/>
        </w:rPr>
        <w:t xml:space="preserve"> </w:t>
      </w:r>
      <w:r w:rsidRPr="005E5B5E">
        <w:rPr>
          <w:szCs w:val="28"/>
        </w:rPr>
        <w:t>установленное соответствие.</w:t>
      </w:r>
      <w:r>
        <w:rPr>
          <w:szCs w:val="28"/>
        </w:rPr>
        <w:t xml:space="preserve"> </w:t>
      </w:r>
    </w:p>
    <w:p w:rsidR="005E5B5E" w:rsidRPr="005E5B5E" w:rsidRDefault="005E5B5E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5E5B5E">
        <w:rPr>
          <w:szCs w:val="28"/>
        </w:rPr>
        <w:t>За успешное выполнение каждого из заданий 1–3 выставляется максимально 5 баллов;</w:t>
      </w:r>
      <w:r w:rsidR="00E57AB7">
        <w:rPr>
          <w:szCs w:val="28"/>
        </w:rPr>
        <w:t xml:space="preserve"> </w:t>
      </w:r>
      <w:r w:rsidRPr="005E5B5E">
        <w:rPr>
          <w:szCs w:val="28"/>
        </w:rPr>
        <w:t>за успешное выполнение задания 4 – максимально 6 баллов (по 1 баллу за каждый</w:t>
      </w:r>
      <w:r w:rsidR="00E57AB7">
        <w:rPr>
          <w:szCs w:val="28"/>
        </w:rPr>
        <w:t xml:space="preserve"> </w:t>
      </w:r>
      <w:r w:rsidRPr="005E5B5E">
        <w:rPr>
          <w:szCs w:val="28"/>
        </w:rPr>
        <w:t>правильный ответ).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r w:rsidRPr="00E57AB7">
        <w:rPr>
          <w:b/>
          <w:bCs/>
          <w:szCs w:val="28"/>
        </w:rPr>
        <w:t>Часть 2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Каждое из заданий 5 и 6 считается выполненным верно, если правильно указаны</w:t>
      </w:r>
      <w:r>
        <w:rPr>
          <w:szCs w:val="28"/>
        </w:rPr>
        <w:t xml:space="preserve"> </w:t>
      </w:r>
      <w:r w:rsidRPr="00E57AB7">
        <w:rPr>
          <w:szCs w:val="28"/>
        </w:rPr>
        <w:t>слово (словосочетание) или последовательность цифр.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В задании 5 участник получает 1 балл за каждое правильно преобразованное слово.</w:t>
      </w:r>
      <w:r>
        <w:rPr>
          <w:szCs w:val="28"/>
        </w:rPr>
        <w:t xml:space="preserve"> </w:t>
      </w:r>
      <w:r w:rsidRPr="00E57AB7">
        <w:rPr>
          <w:szCs w:val="28"/>
        </w:rPr>
        <w:t>Ответы на задание 5 считаются неверными, если грамматическая форма содержит</w:t>
      </w:r>
      <w:r>
        <w:rPr>
          <w:szCs w:val="28"/>
        </w:rPr>
        <w:t xml:space="preserve"> </w:t>
      </w:r>
      <w:r w:rsidRPr="00E57AB7">
        <w:rPr>
          <w:szCs w:val="28"/>
        </w:rPr>
        <w:t>орфографическую ошибку.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В задании 6 участник получает 1 балл за каждое правильно установленное</w:t>
      </w:r>
      <w:r>
        <w:rPr>
          <w:szCs w:val="28"/>
        </w:rPr>
        <w:t xml:space="preserve"> </w:t>
      </w:r>
      <w:r w:rsidRPr="00E57AB7">
        <w:rPr>
          <w:szCs w:val="28"/>
        </w:rPr>
        <w:t>соответствие.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За успешное выполнение задания 5 выставляется максимально 6 баллов, за успешное</w:t>
      </w:r>
      <w:r>
        <w:rPr>
          <w:szCs w:val="28"/>
        </w:rPr>
        <w:t xml:space="preserve"> </w:t>
      </w:r>
      <w:r w:rsidRPr="00E57AB7">
        <w:rPr>
          <w:szCs w:val="28"/>
        </w:rPr>
        <w:t>выполнение задания 6 выставляется максимально 5 баллов (по 1 баллу за каждый</w:t>
      </w:r>
      <w:r>
        <w:rPr>
          <w:szCs w:val="28"/>
        </w:rPr>
        <w:t xml:space="preserve"> </w:t>
      </w:r>
      <w:r w:rsidRPr="00E57AB7">
        <w:rPr>
          <w:szCs w:val="28"/>
        </w:rPr>
        <w:t>правильный ответ).</w:t>
      </w:r>
    </w:p>
    <w:p w:rsidR="005E5B5E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E57AB7">
        <w:rPr>
          <w:szCs w:val="28"/>
        </w:rPr>
        <w:t>Ответ на задание 7 оценивается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задания </w:t>
      </w:r>
      <w:r w:rsidR="00E57AB7">
        <w:rPr>
          <w:sz w:val="28"/>
          <w:szCs w:val="28"/>
        </w:rPr>
        <w:t>7</w:t>
      </w:r>
      <w:r>
        <w:rPr>
          <w:sz w:val="28"/>
          <w:szCs w:val="28"/>
        </w:rPr>
        <w:t xml:space="preserve">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Default="00E57AB7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lastRenderedPageBreak/>
        <w:drawing>
          <wp:inline distT="0" distB="0" distL="0" distR="0" wp14:anchorId="01B751C8" wp14:editId="3C37E614">
            <wp:extent cx="3315317" cy="355423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3105" t="15709" r="26103" b="16934"/>
                    <a:stretch/>
                  </pic:blipFill>
                  <pic:spPr bwMode="auto">
                    <a:xfrm>
                      <a:off x="0" y="0"/>
                      <a:ext cx="3383361" cy="362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AB7" w:rsidRPr="00F63F3F" w:rsidRDefault="00E57AB7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1. При получении 0 баллов по критерию «Решение коммуникативной задачи» ответ на</w:t>
      </w:r>
      <w:r>
        <w:rPr>
          <w:szCs w:val="28"/>
        </w:rPr>
        <w:t xml:space="preserve"> </w:t>
      </w:r>
      <w:r w:rsidRPr="00E57AB7">
        <w:rPr>
          <w:szCs w:val="28"/>
        </w:rPr>
        <w:t>задание оценивается 0 баллов по всем критериям оценивания выполнения этого задания.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2. Правильное использование средств логической связи предполагает обязательные</w:t>
      </w:r>
      <w:r>
        <w:rPr>
          <w:szCs w:val="28"/>
        </w:rPr>
        <w:t xml:space="preserve"> </w:t>
      </w:r>
      <w:r w:rsidRPr="00E57AB7">
        <w:rPr>
          <w:szCs w:val="28"/>
        </w:rPr>
        <w:t>логические связки-переходы между частями высказывания.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При оценивании выполнения задания 7 «</w:t>
      </w:r>
      <w:r w:rsidRPr="00E57AB7">
        <w:rPr>
          <w:b/>
          <w:bCs/>
          <w:i/>
          <w:iCs/>
          <w:szCs w:val="28"/>
        </w:rPr>
        <w:t>Электронное письмо</w:t>
      </w:r>
      <w:r w:rsidRPr="00E57AB7">
        <w:rPr>
          <w:szCs w:val="28"/>
        </w:rPr>
        <w:t>» следует учитывать</w:t>
      </w:r>
      <w:r>
        <w:rPr>
          <w:szCs w:val="28"/>
        </w:rPr>
        <w:t xml:space="preserve"> </w:t>
      </w:r>
      <w:r w:rsidRPr="00E57AB7">
        <w:rPr>
          <w:szCs w:val="28"/>
        </w:rPr>
        <w:t>такой параметр, как объём письменного текста, выраженный в количестве слов. Требуемый</w:t>
      </w:r>
      <w:r>
        <w:rPr>
          <w:szCs w:val="28"/>
        </w:rPr>
        <w:t xml:space="preserve"> </w:t>
      </w:r>
      <w:r w:rsidRPr="00E57AB7">
        <w:rPr>
          <w:szCs w:val="28"/>
        </w:rPr>
        <w:t>объём для электронного письма личного характера при выполнении задания 7 –</w:t>
      </w:r>
      <w:r>
        <w:rPr>
          <w:szCs w:val="28"/>
        </w:rPr>
        <w:t xml:space="preserve"> </w:t>
      </w:r>
      <w:r w:rsidRPr="00E57AB7">
        <w:rPr>
          <w:szCs w:val="28"/>
        </w:rPr>
        <w:t>100–130 слов. Допустимое отклонение от заданного объёма составляет 10%. Если в ответе на</w:t>
      </w:r>
      <w:r>
        <w:rPr>
          <w:szCs w:val="28"/>
        </w:rPr>
        <w:t xml:space="preserve"> </w:t>
      </w:r>
      <w:r w:rsidRPr="00E57AB7">
        <w:rPr>
          <w:szCs w:val="28"/>
        </w:rPr>
        <w:t>задание 7 менее 90 слов, то ответ на задание проверке не подлежит и оценивается 0 баллов.</w:t>
      </w:r>
      <w:r>
        <w:rPr>
          <w:szCs w:val="28"/>
        </w:rPr>
        <w:t xml:space="preserve"> </w:t>
      </w:r>
      <w:r w:rsidRPr="00E57AB7">
        <w:rPr>
          <w:szCs w:val="28"/>
        </w:rPr>
        <w:t>При превышении объёма более чем на 10%, т.е. если в ответе на задание 7 более 143 слов,</w:t>
      </w:r>
      <w:r>
        <w:rPr>
          <w:szCs w:val="28"/>
        </w:rPr>
        <w:t xml:space="preserve"> </w:t>
      </w:r>
      <w:r w:rsidRPr="00E57AB7">
        <w:rPr>
          <w:szCs w:val="28"/>
        </w:rPr>
        <w:t>проверке подлежит только та часть ответа на задание, которая соответствует требуемому</w:t>
      </w:r>
      <w:r>
        <w:rPr>
          <w:szCs w:val="28"/>
        </w:rPr>
        <w:t xml:space="preserve"> </w:t>
      </w:r>
      <w:r w:rsidRPr="00E57AB7">
        <w:rPr>
          <w:szCs w:val="28"/>
        </w:rPr>
        <w:t>объёму. Таким образом, при проверке ответа на задание 7 отсчитывается от начала ответа</w:t>
      </w:r>
      <w:r>
        <w:rPr>
          <w:szCs w:val="28"/>
        </w:rPr>
        <w:t xml:space="preserve"> </w:t>
      </w:r>
      <w:r w:rsidRPr="00E57AB7">
        <w:rPr>
          <w:szCs w:val="28"/>
        </w:rPr>
        <w:t>130 слов, и оценивается только эта часть ответа.</w:t>
      </w:r>
    </w:p>
    <w:p w:rsid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При определении соответствия объёма представленной работы указанным выше</w:t>
      </w:r>
      <w:r>
        <w:rPr>
          <w:szCs w:val="28"/>
        </w:rPr>
        <w:t xml:space="preserve"> </w:t>
      </w:r>
      <w:r w:rsidRPr="00E57AB7">
        <w:rPr>
          <w:szCs w:val="28"/>
        </w:rPr>
        <w:t>требованиям считаются все слова, с первого слова по последнее, включая вспомогательные</w:t>
      </w:r>
      <w:r>
        <w:rPr>
          <w:szCs w:val="28"/>
        </w:rPr>
        <w:t xml:space="preserve"> </w:t>
      </w:r>
      <w:r w:rsidRPr="00E57AB7">
        <w:rPr>
          <w:szCs w:val="28"/>
        </w:rPr>
        <w:t>глаголы, предлоги, артикли, частицы.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57AB7">
        <w:rPr>
          <w:szCs w:val="28"/>
        </w:rPr>
        <w:t>В электронном письме обращение и подпись также</w:t>
      </w:r>
      <w:r>
        <w:rPr>
          <w:szCs w:val="28"/>
        </w:rPr>
        <w:t xml:space="preserve"> </w:t>
      </w:r>
      <w:r w:rsidRPr="00E57AB7">
        <w:rPr>
          <w:szCs w:val="28"/>
        </w:rPr>
        <w:t>подлежат подсчёту. При этом: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 xml:space="preserve">− стяжённые (краткие) формы (например, </w:t>
      </w:r>
      <w:proofErr w:type="spellStart"/>
      <w:r w:rsidRPr="00E57AB7">
        <w:rPr>
          <w:i/>
          <w:iCs/>
          <w:szCs w:val="28"/>
        </w:rPr>
        <w:t>gibt´s</w:t>
      </w:r>
      <w:proofErr w:type="spellEnd"/>
      <w:r w:rsidRPr="00E57AB7">
        <w:rPr>
          <w:szCs w:val="28"/>
        </w:rPr>
        <w:t xml:space="preserve">, </w:t>
      </w:r>
      <w:proofErr w:type="spellStart"/>
      <w:r w:rsidRPr="00E57AB7">
        <w:rPr>
          <w:i/>
          <w:iCs/>
          <w:szCs w:val="28"/>
        </w:rPr>
        <w:t>mach´s</w:t>
      </w:r>
      <w:proofErr w:type="spellEnd"/>
      <w:r w:rsidRPr="00E57AB7">
        <w:rPr>
          <w:szCs w:val="28"/>
        </w:rPr>
        <w:t>) считаются как одно слово;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− числительные, выраженные цифрами (например, 5, 29, 2010, 123 204), считаются как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>одно слово;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lastRenderedPageBreak/>
        <w:t>− числительные, выраженные словами, считаются как слова;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 xml:space="preserve">− сложные слова (например, </w:t>
      </w:r>
      <w:r w:rsidRPr="00E57AB7">
        <w:rPr>
          <w:i/>
          <w:iCs/>
          <w:szCs w:val="28"/>
        </w:rPr>
        <w:t>E-</w:t>
      </w:r>
      <w:proofErr w:type="spellStart"/>
      <w:r w:rsidRPr="00E57AB7">
        <w:rPr>
          <w:i/>
          <w:iCs/>
          <w:szCs w:val="28"/>
        </w:rPr>
        <w:t>Mail</w:t>
      </w:r>
      <w:proofErr w:type="spellEnd"/>
      <w:r w:rsidRPr="00E57AB7">
        <w:rPr>
          <w:szCs w:val="28"/>
        </w:rPr>
        <w:t xml:space="preserve">, </w:t>
      </w:r>
      <w:r w:rsidRPr="00E57AB7">
        <w:rPr>
          <w:i/>
          <w:iCs/>
          <w:szCs w:val="28"/>
        </w:rPr>
        <w:t>TV-</w:t>
      </w:r>
      <w:proofErr w:type="spellStart"/>
      <w:r w:rsidRPr="00E57AB7">
        <w:rPr>
          <w:i/>
          <w:iCs/>
          <w:szCs w:val="28"/>
        </w:rPr>
        <w:t>Sendung</w:t>
      </w:r>
      <w:proofErr w:type="spellEnd"/>
      <w:r w:rsidRPr="00E57AB7">
        <w:rPr>
          <w:szCs w:val="28"/>
        </w:rPr>
        <w:t xml:space="preserve">, </w:t>
      </w:r>
      <w:r w:rsidRPr="00E57AB7">
        <w:rPr>
          <w:i/>
          <w:iCs/>
          <w:szCs w:val="28"/>
        </w:rPr>
        <w:t>DDR-</w:t>
      </w:r>
      <w:proofErr w:type="spellStart"/>
      <w:r w:rsidRPr="00E57AB7">
        <w:rPr>
          <w:i/>
          <w:iCs/>
          <w:szCs w:val="28"/>
        </w:rPr>
        <w:t>Mode</w:t>
      </w:r>
      <w:proofErr w:type="spellEnd"/>
      <w:r w:rsidRPr="00E57AB7">
        <w:rPr>
          <w:szCs w:val="28"/>
        </w:rPr>
        <w:t>) считаются как одно слово;</w:t>
      </w:r>
    </w:p>
    <w:p w:rsidR="00E57AB7" w:rsidRPr="00E57AB7" w:rsidRDefault="00E57AB7" w:rsidP="00E57AB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E57AB7">
        <w:rPr>
          <w:szCs w:val="28"/>
        </w:rPr>
        <w:t xml:space="preserve">− сокращения, такие как </w:t>
      </w:r>
      <w:r w:rsidRPr="00E57AB7">
        <w:rPr>
          <w:i/>
          <w:iCs/>
          <w:szCs w:val="28"/>
        </w:rPr>
        <w:t>USA</w:t>
      </w:r>
      <w:r w:rsidRPr="00E57AB7">
        <w:rPr>
          <w:szCs w:val="28"/>
        </w:rPr>
        <w:t xml:space="preserve">, </w:t>
      </w:r>
      <w:r w:rsidRPr="00E57AB7">
        <w:rPr>
          <w:i/>
          <w:iCs/>
          <w:szCs w:val="28"/>
        </w:rPr>
        <w:t>ABC</w:t>
      </w:r>
      <w:r w:rsidRPr="00E57AB7">
        <w:rPr>
          <w:szCs w:val="28"/>
        </w:rPr>
        <w:t xml:space="preserve">, </w:t>
      </w:r>
      <w:r w:rsidRPr="00E57AB7">
        <w:rPr>
          <w:i/>
          <w:iCs/>
          <w:szCs w:val="28"/>
        </w:rPr>
        <w:t xml:space="preserve">BRD </w:t>
      </w:r>
      <w:r w:rsidRPr="00E57AB7">
        <w:rPr>
          <w:szCs w:val="28"/>
        </w:rPr>
        <w:t>и т.п., считаются как одно слово;</w:t>
      </w:r>
    </w:p>
    <w:p w:rsidR="00E57AB7" w:rsidRDefault="00E57AB7" w:rsidP="00E57AB7">
      <w:pPr>
        <w:spacing w:after="0" w:line="276" w:lineRule="auto"/>
        <w:ind w:firstLine="567"/>
        <w:jc w:val="both"/>
        <w:rPr>
          <w:szCs w:val="28"/>
        </w:rPr>
      </w:pPr>
      <w:r w:rsidRPr="00E57AB7">
        <w:rPr>
          <w:szCs w:val="28"/>
        </w:rPr>
        <w:t xml:space="preserve">− сокращения, такие как </w:t>
      </w:r>
      <w:proofErr w:type="spellStart"/>
      <w:r w:rsidRPr="00E57AB7">
        <w:rPr>
          <w:szCs w:val="28"/>
        </w:rPr>
        <w:t>z.B</w:t>
      </w:r>
      <w:proofErr w:type="spellEnd"/>
      <w:r w:rsidRPr="00E57AB7">
        <w:rPr>
          <w:szCs w:val="28"/>
        </w:rPr>
        <w:t xml:space="preserve">., </w:t>
      </w:r>
      <w:proofErr w:type="spellStart"/>
      <w:r w:rsidRPr="00E57AB7">
        <w:rPr>
          <w:szCs w:val="28"/>
        </w:rPr>
        <w:t>o.Ä</w:t>
      </w:r>
      <w:proofErr w:type="spellEnd"/>
      <w:r w:rsidRPr="00E57AB7">
        <w:rPr>
          <w:szCs w:val="28"/>
        </w:rPr>
        <w:t>. и т.п., считаются как два слова.</w:t>
      </w:r>
    </w:p>
    <w:p w:rsidR="00E57AB7" w:rsidRDefault="003A3D17" w:rsidP="00E57AB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="00E57AB7" w:rsidRPr="00E57AB7">
        <w:rPr>
          <w:szCs w:val="28"/>
        </w:rPr>
        <w:t xml:space="preserve">Максимальный первичный балл за выполнение работы − </w:t>
      </w:r>
      <w:r w:rsidR="00E57AB7" w:rsidRPr="00E57AB7">
        <w:rPr>
          <w:b/>
          <w:bCs/>
          <w:szCs w:val="28"/>
        </w:rPr>
        <w:t>38</w:t>
      </w:r>
      <w:r w:rsidR="00E57AB7" w:rsidRPr="00E57AB7">
        <w:rPr>
          <w:szCs w:val="28"/>
        </w:rPr>
        <w:t>.</w:t>
      </w:r>
      <w:r w:rsidR="00E57AB7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p w:rsidR="00E57AB7" w:rsidRPr="00E57AB7" w:rsidRDefault="00E57AB7" w:rsidP="00E57AB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E57AB7">
        <w:rPr>
          <w:i/>
          <w:iCs/>
          <w:szCs w:val="28"/>
        </w:rPr>
        <w:t>Рекомендации по переводу первичных баллов в отметки по пятибалльной шкале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815B86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29" w:type="dxa"/>
          </w:tcPr>
          <w:p w:rsidR="003A3D17" w:rsidRPr="00F63DDC" w:rsidRDefault="00815B86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22</w:t>
            </w:r>
            <w:r w:rsidR="003A3D17"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29" w:type="dxa"/>
          </w:tcPr>
          <w:p w:rsidR="003A3D17" w:rsidRPr="00F63DDC" w:rsidRDefault="00815B86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33</w:t>
            </w:r>
            <w:r w:rsidR="003A3D17"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38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5E5B5E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0427D006" wp14:editId="06641AF9">
            <wp:extent cx="4572000" cy="24574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5E5B5E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59E8E72" wp14:editId="0ECB990A">
            <wp:extent cx="5886450" cy="2257425"/>
            <wp:effectExtent l="0" t="0" r="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lastRenderedPageBreak/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5E5B5E">
        <w:rPr>
          <w:rFonts w:eastAsia="TimesNewRoman"/>
          <w:szCs w:val="28"/>
        </w:rPr>
        <w:t>10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5E5B5E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506B7E70" wp14:editId="46DE64EE">
            <wp:extent cx="5940425" cy="2289832"/>
            <wp:effectExtent l="0" t="0" r="317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</w:t>
      </w:r>
      <w:r w:rsidR="001879E9">
        <w:rPr>
          <w:sz w:val="28"/>
          <w:szCs w:val="28"/>
        </w:rPr>
        <w:t>7</w:t>
      </w:r>
      <w:r w:rsidR="001C71AB" w:rsidRPr="000A4314">
        <w:rPr>
          <w:sz w:val="28"/>
          <w:szCs w:val="28"/>
        </w:rPr>
        <w:t xml:space="preserve"> задание, написание </w:t>
      </w:r>
      <w:r w:rsidR="001C71AB" w:rsidRPr="001C71AB">
        <w:rPr>
          <w:sz w:val="28"/>
          <w:szCs w:val="28"/>
        </w:rPr>
        <w:t xml:space="preserve"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</w:t>
      </w:r>
      <w:r w:rsidR="00790CB5">
        <w:rPr>
          <w:sz w:val="28"/>
          <w:szCs w:val="28"/>
        </w:rPr>
        <w:t>1</w:t>
      </w:r>
      <w:r w:rsidR="00815B86">
        <w:rPr>
          <w:sz w:val="28"/>
          <w:szCs w:val="28"/>
        </w:rPr>
        <w:t>3</w:t>
      </w:r>
      <w:r w:rsidR="001C71AB" w:rsidRPr="001C71AB">
        <w:rPr>
          <w:sz w:val="28"/>
          <w:szCs w:val="28"/>
        </w:rPr>
        <w:t>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CC511A">
        <w:rPr>
          <w:sz w:val="28"/>
          <w:szCs w:val="28"/>
        </w:rPr>
        <w:t xml:space="preserve">является </w:t>
      </w:r>
      <w:r w:rsidR="00640C94">
        <w:rPr>
          <w:sz w:val="28"/>
          <w:szCs w:val="28"/>
        </w:rPr>
        <w:t>правильное лексико-грамматическое</w:t>
      </w:r>
      <w:r w:rsidRPr="008A3327">
        <w:rPr>
          <w:sz w:val="28"/>
          <w:szCs w:val="28"/>
        </w:rPr>
        <w:t xml:space="preserve"> оформление</w:t>
      </w:r>
      <w:r w:rsidR="00CC511A">
        <w:rPr>
          <w:sz w:val="28"/>
          <w:szCs w:val="28"/>
        </w:rPr>
        <w:t xml:space="preserve">, правильное использование </w:t>
      </w:r>
      <w:r w:rsidR="00CC511A" w:rsidRPr="00CC511A">
        <w:rPr>
          <w:sz w:val="28"/>
          <w:szCs w:val="28"/>
        </w:rPr>
        <w:t>средств</w:t>
      </w:r>
      <w:r w:rsidR="00CC511A">
        <w:rPr>
          <w:sz w:val="28"/>
          <w:szCs w:val="28"/>
        </w:rPr>
        <w:t xml:space="preserve"> </w:t>
      </w:r>
      <w:r w:rsidR="00CC511A" w:rsidRPr="00CC511A">
        <w:rPr>
          <w:sz w:val="28"/>
          <w:szCs w:val="28"/>
        </w:rPr>
        <w:t>логической связи; структурно</w:t>
      </w:r>
      <w:r w:rsidR="00CC511A">
        <w:rPr>
          <w:sz w:val="28"/>
          <w:szCs w:val="28"/>
        </w:rPr>
        <w:t>е</w:t>
      </w:r>
      <w:r w:rsidR="00CC511A" w:rsidRPr="00CC511A">
        <w:rPr>
          <w:sz w:val="28"/>
          <w:szCs w:val="28"/>
        </w:rPr>
        <w:t xml:space="preserve"> оформл</w:t>
      </w:r>
      <w:r w:rsidR="00CC511A">
        <w:rPr>
          <w:sz w:val="28"/>
          <w:szCs w:val="28"/>
        </w:rPr>
        <w:t>ение</w:t>
      </w:r>
      <w:r w:rsidR="00CC511A" w:rsidRPr="00CC511A">
        <w:rPr>
          <w:sz w:val="28"/>
          <w:szCs w:val="28"/>
        </w:rPr>
        <w:t xml:space="preserve"> текст</w:t>
      </w:r>
      <w:r w:rsidR="00CC511A">
        <w:rPr>
          <w:sz w:val="28"/>
          <w:szCs w:val="28"/>
        </w:rPr>
        <w:t>а</w:t>
      </w:r>
      <w:r w:rsidR="00CC511A" w:rsidRPr="00CC511A">
        <w:rPr>
          <w:sz w:val="28"/>
          <w:szCs w:val="28"/>
        </w:rPr>
        <w:t xml:space="preserve"> в соответствии с нормами письменного этикета</w:t>
      </w:r>
      <w:r w:rsidRPr="008A3327">
        <w:rPr>
          <w:sz w:val="28"/>
          <w:szCs w:val="28"/>
        </w:rPr>
        <w:t>.</w:t>
      </w:r>
    </w:p>
    <w:p w:rsidR="00CC511A" w:rsidRPr="00187311" w:rsidRDefault="00CC511A" w:rsidP="00CC511A">
      <w:pPr>
        <w:pStyle w:val="a7"/>
        <w:ind w:left="0" w:firstLine="709"/>
        <w:jc w:val="both"/>
        <w:rPr>
          <w:sz w:val="28"/>
          <w:szCs w:val="28"/>
        </w:rPr>
      </w:pPr>
      <w:r w:rsidRPr="00187311">
        <w:rPr>
          <w:sz w:val="28"/>
          <w:szCs w:val="28"/>
        </w:rPr>
        <w:t>Рекомендуется педагогам до начала учебного года провести анализ</w:t>
      </w:r>
      <w:r>
        <w:rPr>
          <w:sz w:val="28"/>
          <w:szCs w:val="28"/>
        </w:rPr>
        <w:t xml:space="preserve"> </w:t>
      </w:r>
      <w:r w:rsidRPr="00187311">
        <w:rPr>
          <w:sz w:val="28"/>
          <w:szCs w:val="28"/>
        </w:rPr>
        <w:t xml:space="preserve">результатов оценочных процедур по иностранному языку. </w:t>
      </w:r>
    </w:p>
    <w:p w:rsidR="00CC511A" w:rsidRPr="00187311" w:rsidRDefault="00CC511A" w:rsidP="00CC511A">
      <w:pPr>
        <w:pStyle w:val="a7"/>
        <w:ind w:left="0" w:firstLine="708"/>
        <w:jc w:val="both"/>
        <w:rPr>
          <w:sz w:val="28"/>
          <w:szCs w:val="28"/>
        </w:rPr>
      </w:pPr>
      <w:r w:rsidRPr="00187311">
        <w:rPr>
          <w:sz w:val="28"/>
          <w:szCs w:val="28"/>
        </w:rPr>
        <w:t xml:space="preserve">Задача учителя организовать освоение в полном объеме образовательной программы, которая реализуется в образовательной организации, и на каждом этапе ее освоения </w:t>
      </w:r>
      <w:r w:rsidRPr="00187311">
        <w:rPr>
          <w:b/>
          <w:i/>
          <w:sz w:val="28"/>
          <w:szCs w:val="28"/>
        </w:rPr>
        <w:t xml:space="preserve">проводить объективную оценку </w:t>
      </w:r>
      <w:r w:rsidRPr="00187311">
        <w:rPr>
          <w:sz w:val="28"/>
          <w:szCs w:val="28"/>
        </w:rPr>
        <w:t>обучающихся, проводить соответствующую корректировку изучения учебного предмета, которые будут обеспечивать достижение максимально высоких результатов каждого ученика.</w:t>
      </w:r>
    </w:p>
    <w:p w:rsidR="00CC511A" w:rsidRPr="00187311" w:rsidRDefault="00CC511A" w:rsidP="00CC511A">
      <w:pPr>
        <w:ind w:firstLine="708"/>
        <w:jc w:val="both"/>
        <w:rPr>
          <w:szCs w:val="28"/>
        </w:rPr>
      </w:pPr>
      <w:r w:rsidRPr="00187311">
        <w:rPr>
          <w:szCs w:val="28"/>
        </w:rPr>
        <w:t>Результаты оценочных процедур в части достижений учащихся рекомендуется использовать для коррекции методов и форм обучения. Их анализ по иностранному языку показал, что основные тенденции, проявившиеся в последние годы, остаются актуальными, что</w:t>
      </w:r>
      <w:r w:rsidRPr="00187311">
        <w:t xml:space="preserve"> позволяет сделать вывод о целесообразности </w:t>
      </w:r>
      <w:r w:rsidRPr="00187311">
        <w:rPr>
          <w:szCs w:val="28"/>
        </w:rPr>
        <w:t>вновь акцентировать внимание на определенных аспектах подготовки учащихся.</w:t>
      </w:r>
    </w:p>
    <w:p w:rsidR="00CC511A" w:rsidRPr="00187311" w:rsidRDefault="00CC511A" w:rsidP="00CC511A">
      <w:pPr>
        <w:jc w:val="both"/>
        <w:rPr>
          <w:szCs w:val="28"/>
        </w:rPr>
      </w:pPr>
    </w:p>
    <w:p w:rsidR="00CC511A" w:rsidRDefault="00CC511A" w:rsidP="00CC511A">
      <w:pPr>
        <w:pStyle w:val="ab"/>
        <w:ind w:firstLine="709"/>
        <w:jc w:val="both"/>
        <w:rPr>
          <w:szCs w:val="28"/>
        </w:rPr>
      </w:pPr>
      <w:r>
        <w:rPr>
          <w:szCs w:val="28"/>
        </w:rPr>
        <w:lastRenderedPageBreak/>
        <w:t>С</w:t>
      </w:r>
      <w:r w:rsidRPr="00187311">
        <w:rPr>
          <w:szCs w:val="28"/>
        </w:rPr>
        <w:t xml:space="preserve">ледует уделять большее внимание: 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- формированию читательской грамотности;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 xml:space="preserve">- развитию таких </w:t>
      </w:r>
      <w:proofErr w:type="spellStart"/>
      <w:r w:rsidRPr="00187311">
        <w:rPr>
          <w:szCs w:val="28"/>
        </w:rPr>
        <w:t>общеучебных</w:t>
      </w:r>
      <w:proofErr w:type="spellEnd"/>
      <w:r w:rsidRPr="00187311">
        <w:rPr>
          <w:szCs w:val="28"/>
        </w:rPr>
        <w:t xml:space="preserve"> умений, как умение вдумчиво прочитать инструкцию к заданию и точно выполнить ее; извлечь необходимую информацию, сделать на ее основе заключения и аргументировать их; логически организовать предполагаемый устный или письменный текст;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 xml:space="preserve">- использованию в процессе обучения текстов различных типов и жанров, в том числе материалов сети Интернет; 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развитию языкового чутья, формированию умений языковой догадки;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:rsidR="00CC511A" w:rsidRPr="00187311" w:rsidRDefault="00CC511A" w:rsidP="00CC511A">
      <w:pPr>
        <w:pStyle w:val="ab"/>
        <w:ind w:firstLine="709"/>
        <w:jc w:val="both"/>
        <w:rPr>
          <w:szCs w:val="28"/>
        </w:rPr>
      </w:pPr>
      <w:r w:rsidRPr="00187311">
        <w:rPr>
          <w:szCs w:val="28"/>
        </w:rPr>
        <w:t>- развитию информационно-коммуникационной компетенции учащихся в части анализа информации, отбора содержательных элементов и их логической организации; аргументации своего мнения, высказываемых предложений и принимаемых решений, умения логически организовать порождаемый письменный текст, четко следовать инструкциям к заданию, в том числе соблюдать предписанный объем письменного высказывания</w:t>
      </w:r>
      <w:r w:rsidR="00F7697A">
        <w:rPr>
          <w:szCs w:val="28"/>
        </w:rPr>
        <w:t>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Важно в учебном процессе уделять большее внимание вопросам сочетаемости лексических единиц, приучать школьников запоминать слова в контексте.</w:t>
      </w:r>
    </w:p>
    <w:p w:rsidR="00F7697A" w:rsidRDefault="00CC511A" w:rsidP="00F7697A">
      <w:pPr>
        <w:pStyle w:val="ab"/>
        <w:ind w:firstLine="708"/>
        <w:jc w:val="both"/>
      </w:pPr>
      <w:r w:rsidRPr="00187311">
        <w:t>На уроках следует уделять больше внимания отработке использования слов в коммуникативно-значимом контексте, т.е. в связном тексте.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Выполнение грамматических упражнений на противопоставление двух обозначенных в задании форм недостаточно для формирования устойчивых грамматических навыков. Необходимо анализировать грамматические формы в прочитанных текстах, добиваться понимания того, какую информацию они несут, почему именно эти формы употреблены в данном контексте, а также предлагать связные тексты, в которых надо правильно использовать различные грамматические формы.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Необходимо обращать внимание обучающихся на то, как грамматическая конструкция влияет на выбор лексической единицы, учить видеть связь между лексикой и грамматикой.</w:t>
      </w:r>
    </w:p>
    <w:p w:rsidR="00F7697A" w:rsidRDefault="00CC511A" w:rsidP="00F7697A">
      <w:pPr>
        <w:ind w:firstLine="708"/>
        <w:jc w:val="both"/>
        <w:rPr>
          <w:szCs w:val="28"/>
        </w:rPr>
      </w:pPr>
      <w:r w:rsidRPr="00187311">
        <w:rPr>
          <w:szCs w:val="28"/>
        </w:rPr>
        <w:t>Следует организовывать регулярную практику в выполнении письменных заданий разного объема, чтобы развить готовность написать работу в соответствии с объемом, указанным в экзаменационном задании.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lastRenderedPageBreak/>
        <w:t>Необходимо научить школьников отбирать материал, необходимый для полного и точного выполнения задания в соответствии с поставленными коммуникативными задачами, а после написания работы проверять ее как с точки зрения содержания, так и с точки зрения формы. Важно научить обучающихся умению анализировать и редактировать собственные письменные работы.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 xml:space="preserve">Важно обратить внимание обучающихся на необходимость внимательного прочтения инструкций к выполнению задания и научить их извлекать из инструкций максимум информации. Инструкция к выполнению задания ориентирует на выполнение определенной коммуникативно-рецептивной задачи, например на определенный вид чтения: просмотровое, ознакомительное (понимание общего содержания текста); поисковое (понимание запрашиваемой информации); изучающее (полное понимание текста). Инструкции к заданиям раздела «Письмо» дают ясные ориентиры для выполнения коммуникативно-продуктивной задачи. 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>Следует обращать особое внимание обучающихся на необходимость четкого переноса ответов в бланк в соответствии с инструкцией, ориентируясь на образец написания букв и цифр.</w:t>
      </w:r>
    </w:p>
    <w:p w:rsidR="00F7697A" w:rsidRDefault="00CC511A" w:rsidP="00F7697A">
      <w:pPr>
        <w:pStyle w:val="ab"/>
        <w:ind w:firstLine="708"/>
        <w:jc w:val="both"/>
      </w:pPr>
      <w:r w:rsidRPr="00187311">
        <w:t>Контрольные измерительные материалы имеют аутентичный, практико-ориентированный, метапредметный и социокультурный характер.</w:t>
      </w:r>
    </w:p>
    <w:p w:rsidR="00CC511A" w:rsidRPr="00187311" w:rsidRDefault="00CC511A" w:rsidP="00F7697A">
      <w:pPr>
        <w:pStyle w:val="ab"/>
        <w:ind w:firstLine="708"/>
        <w:jc w:val="both"/>
      </w:pPr>
      <w:r w:rsidRPr="00187311">
        <w:t xml:space="preserve">Следовательно, нужны серьезная практика в слушании и чтении аутентичных текстов различных жанров, знание правил построения письменных и устных высказываний в соответствии с нормами стран изучаемого языка. Требуется расширение культурного кругозора учащихся. </w:t>
      </w:r>
    </w:p>
    <w:p w:rsidR="003642AD" w:rsidRDefault="003642AD" w:rsidP="00F7697A">
      <w:pPr>
        <w:pStyle w:val="ab"/>
        <w:ind w:firstLine="708"/>
        <w:jc w:val="both"/>
      </w:pPr>
      <w:r w:rsidRPr="00F7697A"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 w:rsidRPr="00F7697A">
        <w:t>, словообразования, словоупотребления в связном контексте.</w:t>
      </w:r>
    </w:p>
    <w:p w:rsidR="00F7697A" w:rsidRPr="004116C2" w:rsidRDefault="00F7697A" w:rsidP="00F7697A">
      <w:pPr>
        <w:pStyle w:val="ab"/>
        <w:ind w:firstLine="708"/>
        <w:jc w:val="both"/>
      </w:pPr>
      <w:r w:rsidRPr="004116C2">
        <w:t xml:space="preserve">Стратегия функционального обучения грамматике включает в себя изучение языка от значения к форме, обучение на ситуативной и функциональной основе, описание коммуникативных возможностей грамматических явлений, правила выбора грамматических единиц в соответствии с целью языкового общения. В функциональном подходе к обучению грамматике соблюдаются следующие принципы: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1. Речевая направленность. Практическое обучение иностранному языку посредством речевых упражнений с накоплением большого объема лексики и грамматики.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2. Функциональность. Усвоение лексических и грамматических единиц сразу в речевой деятельности при выполнении коммуникативной задачи.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3. Ситуативность, ролевая организация учебного процесса. Отбор и организация материала на основе ситуаций и проблем общения.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4. Новизна. Новизна речевых ситуаций, материала, организации урока. </w:t>
      </w:r>
    </w:p>
    <w:p w:rsidR="00F7697A" w:rsidRPr="004116C2" w:rsidRDefault="00F7697A" w:rsidP="00F7697A">
      <w:pPr>
        <w:pStyle w:val="ab"/>
        <w:jc w:val="both"/>
      </w:pPr>
      <w:r w:rsidRPr="004116C2">
        <w:t xml:space="preserve">5. Личностная ориентация общения. </w:t>
      </w:r>
    </w:p>
    <w:p w:rsidR="00F7697A" w:rsidRDefault="00F7697A" w:rsidP="00F7697A">
      <w:pPr>
        <w:pStyle w:val="ab"/>
        <w:jc w:val="both"/>
      </w:pPr>
      <w:r w:rsidRPr="004116C2">
        <w:t>6. Коллективное взаимодействие.</w:t>
      </w:r>
    </w:p>
    <w:p w:rsidR="00F7697A" w:rsidRPr="004116C2" w:rsidRDefault="00F7697A" w:rsidP="00F7697A">
      <w:pPr>
        <w:pStyle w:val="ab"/>
        <w:ind w:firstLine="708"/>
        <w:jc w:val="both"/>
      </w:pPr>
      <w:r w:rsidRPr="004116C2">
        <w:lastRenderedPageBreak/>
        <w:t>Преобладание в функциональном подходе проблемно-речевых и творческих упражнений над лингвистическими, использование аутентичных ситуаций общения развивают умения обучающихся спонтанно реагировать в процессе коммуникации, формируют их психологическую готовность к реальному иноязычному взаимодействию. Таким образом, применение функционального подхода к обучению грамматике позволяет эффективно использовать учебное время в условиях современного учебного процесса.</w:t>
      </w:r>
    </w:p>
    <w:p w:rsidR="008A3327" w:rsidRPr="00F7697A" w:rsidRDefault="00391729" w:rsidP="00F7697A">
      <w:pPr>
        <w:pStyle w:val="ab"/>
        <w:ind w:firstLine="708"/>
        <w:jc w:val="both"/>
      </w:pPr>
      <w:r w:rsidRPr="00F7697A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F7697A" w:rsidRDefault="00391729" w:rsidP="00C27A8D">
      <w:pPr>
        <w:pStyle w:val="ab"/>
        <w:ind w:firstLine="708"/>
        <w:jc w:val="both"/>
      </w:pPr>
      <w:r w:rsidRPr="00F7697A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F7697A">
        <w:t>общеучебных</w:t>
      </w:r>
      <w:proofErr w:type="spellEnd"/>
      <w:r w:rsidRPr="00F7697A">
        <w:t xml:space="preserve"> информационно-коммуникативных и иных умений и</w:t>
      </w:r>
      <w:r w:rsidR="008A3327" w:rsidRPr="00F7697A">
        <w:t xml:space="preserve"> навыков</w:t>
      </w:r>
      <w:r w:rsidRPr="00F7697A">
        <w:t xml:space="preserve">. </w:t>
      </w:r>
    </w:p>
    <w:p w:rsidR="00391729" w:rsidRPr="00F7697A" w:rsidRDefault="00391729" w:rsidP="00C27A8D">
      <w:pPr>
        <w:pStyle w:val="ab"/>
        <w:ind w:firstLine="708"/>
        <w:jc w:val="both"/>
      </w:pPr>
      <w:r w:rsidRPr="00F7697A">
        <w:t>При проведении текущего тематического контроля разрабаты</w:t>
      </w:r>
      <w:r w:rsidR="008A3327" w:rsidRPr="00F7697A">
        <w:t>вать задания в соответствии с демонстрационными версиями</w:t>
      </w:r>
      <w:r w:rsidRPr="00F7697A">
        <w:t xml:space="preserve"> </w:t>
      </w:r>
      <w:r w:rsidR="008A3327" w:rsidRPr="00F7697A">
        <w:t>КИМ.</w:t>
      </w:r>
    </w:p>
    <w:p w:rsidR="00700A53" w:rsidRPr="00F7697A" w:rsidRDefault="00700A53" w:rsidP="00C27A8D">
      <w:pPr>
        <w:pStyle w:val="ab"/>
        <w:ind w:firstLine="708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 xml:space="preserve">При подготовке к ВПР по немецкому языку целесообразно использовать </w:t>
      </w:r>
      <w:r w:rsidR="00B660F5" w:rsidRPr="00F7697A">
        <w:rPr>
          <w:rFonts w:eastAsia="Times New Roman"/>
          <w:color w:val="000000"/>
          <w:lang w:eastAsia="ru-RU"/>
        </w:rPr>
        <w:t xml:space="preserve">следующие </w:t>
      </w:r>
      <w:r w:rsidRPr="00F7697A">
        <w:rPr>
          <w:rFonts w:eastAsia="Times New Roman"/>
          <w:color w:val="000000"/>
          <w:lang w:eastAsia="ru-RU"/>
        </w:rPr>
        <w:t>цифровые образовательные ресурсы</w:t>
      </w:r>
      <w:r w:rsidR="00B660F5" w:rsidRPr="00F7697A">
        <w:rPr>
          <w:rFonts w:eastAsia="Times New Roman"/>
          <w:color w:val="000000"/>
          <w:lang w:eastAsia="ru-RU"/>
        </w:rPr>
        <w:t>:</w:t>
      </w:r>
      <w:r w:rsidRPr="00F7697A">
        <w:rPr>
          <w:rFonts w:eastAsia="Times New Roman"/>
          <w:color w:val="000000"/>
          <w:lang w:eastAsia="ru-RU"/>
        </w:rPr>
        <w:t xml:space="preserve"> 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ФИПИ (</w:t>
      </w:r>
      <w:hyperlink r:id="rId10" w:history="1">
        <w:r w:rsidRPr="00F7697A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 xml:space="preserve">- ФГАОУ ДПО «Академия </w:t>
      </w:r>
      <w:proofErr w:type="spellStart"/>
      <w:r w:rsidRPr="00F7697A">
        <w:rPr>
          <w:rFonts w:eastAsia="Times New Roman"/>
          <w:color w:val="000000"/>
          <w:lang w:eastAsia="ru-RU"/>
        </w:rPr>
        <w:t>Минпросвещения</w:t>
      </w:r>
      <w:proofErr w:type="spellEnd"/>
      <w:r w:rsidRPr="00F7697A">
        <w:rPr>
          <w:rFonts w:eastAsia="Times New Roman"/>
          <w:color w:val="000000"/>
          <w:lang w:eastAsia="ru-RU"/>
        </w:rPr>
        <w:t xml:space="preserve"> России» (</w:t>
      </w:r>
      <w:hyperlink r:id="rId11" w:history="1">
        <w:r w:rsidRPr="00F7697A">
          <w:rPr>
            <w:rStyle w:val="ae"/>
            <w:rFonts w:eastAsia="Times New Roman"/>
            <w:szCs w:val="28"/>
            <w:lang w:eastAsia="ru-RU"/>
          </w:rPr>
          <w:t>https://apkpro.ru/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АО Издательство «Просвещение» (</w:t>
      </w:r>
      <w:hyperlink r:id="rId12" w:history="1">
        <w:r w:rsidRPr="00F7697A">
          <w:rPr>
            <w:rStyle w:val="ae"/>
            <w:rFonts w:eastAsia="Times New Roman"/>
            <w:szCs w:val="28"/>
            <w:lang w:eastAsia="ru-RU"/>
          </w:rPr>
          <w:t>https://prosv.ru/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ФИОКО (</w:t>
      </w:r>
      <w:hyperlink r:id="rId13" w:history="1">
        <w:r w:rsidRPr="00F7697A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700A53" w:rsidRPr="00F7697A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ВСОШ (</w:t>
      </w:r>
      <w:hyperlink r:id="rId14" w:history="1">
        <w:r w:rsidRPr="00F7697A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F7697A">
        <w:rPr>
          <w:rFonts w:eastAsia="Times New Roman"/>
          <w:color w:val="000000"/>
          <w:lang w:eastAsia="ru-RU"/>
        </w:rPr>
        <w:t xml:space="preserve"> )</w:t>
      </w:r>
      <w:r w:rsidR="00B660F5" w:rsidRPr="00F7697A">
        <w:rPr>
          <w:rFonts w:eastAsia="Times New Roman"/>
          <w:color w:val="000000"/>
          <w:lang w:eastAsia="ru-RU"/>
        </w:rPr>
        <w:t>;</w:t>
      </w:r>
    </w:p>
    <w:p w:rsidR="00391729" w:rsidRPr="003A08EF" w:rsidRDefault="00700A53" w:rsidP="00F7697A">
      <w:pPr>
        <w:pStyle w:val="ab"/>
        <w:jc w:val="both"/>
        <w:rPr>
          <w:rFonts w:eastAsia="Times New Roman"/>
          <w:color w:val="000000"/>
          <w:lang w:eastAsia="ru-RU"/>
        </w:rPr>
      </w:pPr>
      <w:r w:rsidRPr="00F7697A">
        <w:rPr>
          <w:rFonts w:eastAsia="Times New Roman"/>
          <w:color w:val="000000"/>
          <w:lang w:eastAsia="ru-RU"/>
        </w:rPr>
        <w:t>- Видеоуроки проекта "Телешкола Кубани" (</w:t>
      </w:r>
      <w:hyperlink r:id="rId15" w:history="1">
        <w:r w:rsidRPr="00F7697A">
          <w:rPr>
            <w:rStyle w:val="ae"/>
            <w:rFonts w:eastAsia="Times New Roman"/>
            <w:szCs w:val="28"/>
            <w:lang w:eastAsia="ru-RU"/>
          </w:rPr>
          <w:t>https://iro23.ru/?page_id=39825</w:t>
        </w:r>
      </w:hyperlink>
      <w:r w:rsidRPr="00F7697A">
        <w:rPr>
          <w:rFonts w:eastAsia="Times New Roman"/>
          <w:color w:val="000000"/>
          <w:lang w:eastAsia="ru-RU"/>
        </w:rPr>
        <w:t xml:space="preserve"> ).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879E9"/>
    <w:rsid w:val="001B0CA6"/>
    <w:rsid w:val="001C2F43"/>
    <w:rsid w:val="001C71AB"/>
    <w:rsid w:val="001F185A"/>
    <w:rsid w:val="00216F70"/>
    <w:rsid w:val="00230F71"/>
    <w:rsid w:val="00270DA6"/>
    <w:rsid w:val="00272201"/>
    <w:rsid w:val="00285934"/>
    <w:rsid w:val="00297C86"/>
    <w:rsid w:val="00297FF1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4205DC"/>
    <w:rsid w:val="00434BCA"/>
    <w:rsid w:val="004475E9"/>
    <w:rsid w:val="004A0507"/>
    <w:rsid w:val="004F5FF8"/>
    <w:rsid w:val="005213F1"/>
    <w:rsid w:val="0054444B"/>
    <w:rsid w:val="00576954"/>
    <w:rsid w:val="005868EB"/>
    <w:rsid w:val="005A0963"/>
    <w:rsid w:val="005A1433"/>
    <w:rsid w:val="005C0A43"/>
    <w:rsid w:val="005E14FA"/>
    <w:rsid w:val="005E5B5E"/>
    <w:rsid w:val="00606FFA"/>
    <w:rsid w:val="00640C94"/>
    <w:rsid w:val="00646B64"/>
    <w:rsid w:val="006E4AE7"/>
    <w:rsid w:val="00700A53"/>
    <w:rsid w:val="00713C13"/>
    <w:rsid w:val="007521A3"/>
    <w:rsid w:val="0075369F"/>
    <w:rsid w:val="00756FE4"/>
    <w:rsid w:val="0077303D"/>
    <w:rsid w:val="00787EF5"/>
    <w:rsid w:val="00790CB5"/>
    <w:rsid w:val="007C372A"/>
    <w:rsid w:val="007C5111"/>
    <w:rsid w:val="007E359D"/>
    <w:rsid w:val="007E50D8"/>
    <w:rsid w:val="007F19E9"/>
    <w:rsid w:val="00815B86"/>
    <w:rsid w:val="00826511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60FCD"/>
    <w:rsid w:val="00B660F5"/>
    <w:rsid w:val="00B91ACB"/>
    <w:rsid w:val="00B922F0"/>
    <w:rsid w:val="00BA301E"/>
    <w:rsid w:val="00C16672"/>
    <w:rsid w:val="00C27A8D"/>
    <w:rsid w:val="00C30280"/>
    <w:rsid w:val="00C82654"/>
    <w:rsid w:val="00CC3D70"/>
    <w:rsid w:val="00CC511A"/>
    <w:rsid w:val="00D04B71"/>
    <w:rsid w:val="00D8081B"/>
    <w:rsid w:val="00D81A13"/>
    <w:rsid w:val="00D87665"/>
    <w:rsid w:val="00D8769F"/>
    <w:rsid w:val="00DA0FA6"/>
    <w:rsid w:val="00DB61BA"/>
    <w:rsid w:val="00DD1A6B"/>
    <w:rsid w:val="00DD375C"/>
    <w:rsid w:val="00E018C7"/>
    <w:rsid w:val="00E075AD"/>
    <w:rsid w:val="00E076B5"/>
    <w:rsid w:val="00E409A1"/>
    <w:rsid w:val="00E57AB7"/>
    <w:rsid w:val="00EA7D66"/>
    <w:rsid w:val="00EB609B"/>
    <w:rsid w:val="00ED16E6"/>
    <w:rsid w:val="00EE5DCB"/>
    <w:rsid w:val="00EF2857"/>
    <w:rsid w:val="00F47064"/>
    <w:rsid w:val="00F63F3F"/>
    <w:rsid w:val="00F66FEC"/>
    <w:rsid w:val="00F7697A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C4B0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fioco.ru/ru/osoko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pros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pkpr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ro23.ru/?page_id=39825" TargetMode="External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vserosolimp.edsoo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0.05</c:v>
                </c:pt>
                <c:pt idx="1">
                  <c:v>0.25</c:v>
                </c:pt>
                <c:pt idx="2">
                  <c:v>0.5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3A-4BF6-95EE-DE48EC6BF5F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Выселковский район</c:v>
                </c:pt>
                <c:pt idx="7">
                  <c:v>Кущевский район</c:v>
                </c:pt>
                <c:pt idx="8">
                  <c:v>Мостовский район</c:v>
                </c:pt>
                <c:pt idx="9">
                  <c:v>Староминский район</c:v>
                </c:pt>
                <c:pt idx="10">
                  <c:v>Щербиновский район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2.93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4-4683-B563-3185C3A39A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Выселковский район</c:v>
                </c:pt>
                <c:pt idx="7">
                  <c:v>Кущевский район</c:v>
                </c:pt>
                <c:pt idx="8">
                  <c:v>Мостовский район</c:v>
                </c:pt>
                <c:pt idx="9">
                  <c:v>Староминский район</c:v>
                </c:pt>
                <c:pt idx="10">
                  <c:v>Щербиновский район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29.14</c:v>
                </c:pt>
                <c:pt idx="1">
                  <c:v>25</c:v>
                </c:pt>
                <c:pt idx="2">
                  <c:v>100</c:v>
                </c:pt>
                <c:pt idx="3">
                  <c:v>0</c:v>
                </c:pt>
                <c:pt idx="4">
                  <c:v>50</c:v>
                </c:pt>
                <c:pt idx="5">
                  <c:v>0</c:v>
                </c:pt>
                <c:pt idx="6">
                  <c:v>33.33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64-4683-B563-3185C3A39A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Выселковский район</c:v>
                </c:pt>
                <c:pt idx="7">
                  <c:v>Кущевский район</c:v>
                </c:pt>
                <c:pt idx="8">
                  <c:v>Мостовский район</c:v>
                </c:pt>
                <c:pt idx="9">
                  <c:v>Староминский район</c:v>
                </c:pt>
                <c:pt idx="10">
                  <c:v>Щербиновский район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50.76</c:v>
                </c:pt>
                <c:pt idx="1">
                  <c:v>50</c:v>
                </c:pt>
                <c:pt idx="2">
                  <c:v>0</c:v>
                </c:pt>
                <c:pt idx="3">
                  <c:v>50</c:v>
                </c:pt>
                <c:pt idx="4">
                  <c:v>50</c:v>
                </c:pt>
                <c:pt idx="5">
                  <c:v>60</c:v>
                </c:pt>
                <c:pt idx="6">
                  <c:v>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64-4683-B563-3185C3A39A4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Абинский район</c:v>
                </c:pt>
                <c:pt idx="4">
                  <c:v>Белоглинский район</c:v>
                </c:pt>
                <c:pt idx="5">
                  <c:v>Брюховецкий район</c:v>
                </c:pt>
                <c:pt idx="6">
                  <c:v>Выселковский район</c:v>
                </c:pt>
                <c:pt idx="7">
                  <c:v>Кущевский район</c:v>
                </c:pt>
                <c:pt idx="8">
                  <c:v>Мостовский район</c:v>
                </c:pt>
                <c:pt idx="9">
                  <c:v>Староминский район</c:v>
                </c:pt>
                <c:pt idx="10">
                  <c:v>Щербиновский район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17.170000000000002</c:v>
                </c:pt>
                <c:pt idx="1">
                  <c:v>20</c:v>
                </c:pt>
                <c:pt idx="2">
                  <c:v>0</c:v>
                </c:pt>
                <c:pt idx="3">
                  <c:v>50</c:v>
                </c:pt>
                <c:pt idx="4">
                  <c:v>0</c:v>
                </c:pt>
                <c:pt idx="5">
                  <c:v>20</c:v>
                </c:pt>
                <c:pt idx="6">
                  <c:v>66.67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64-4683-B563-3185C3A39A4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47-46F6-ADBA-A1C94813170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F47-46F6-ADBA-A1C94813170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F47-46F6-ADBA-A1C948131700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F47-46F6-ADBA-A1C9481317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9"/>
                <c:pt idx="0">
                  <c:v>1. Воспринимать на слух и понимать аутентичные тексты, содержащие отдельные неизученные языковые явления</c:v>
                </c:pt>
                <c:pt idx="1">
                  <c:v>2. Читать про себя и понимать основное содержание текстов, содержащих отдельные неизученные языковые явления</c:v>
                </c:pt>
                <c:pt idx="2">
                  <c:v>3. Читать про себя и понимать несложные аутентичные тексты, содержащие отдельные неизученные языковые явления, с пониманием запрашиваемой информации</c:v>
                </c:pt>
                <c:pt idx="3">
                  <c:v>4. Распознавать и правильно употреблять лексические единицы, обслуживающие ситуации общения в рамках тематического содержания речи, с соблюдением существующей нормы лексической сочетаемости </c:v>
                </c:pt>
                <c:pt idx="4">
                  <c:v>5. Оперировать языковыми средствами в коммуникативно значимом контексте: грамматические формы</c:v>
                </c:pt>
                <c:pt idx="5">
                  <c:v>6. Знать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страны/</c:v>
                </c:pt>
                <c:pt idx="6">
                  <c:v>7К1. Писать электронное сообщение личного характера, соблюдая речевой этикет, принятый в стране/странах изучаемого языка (объем сообщения – до 130 слов) </c:v>
                </c:pt>
                <c:pt idx="7">
                  <c:v>7К2.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8">
                  <c:v>7К3. Употреблять лексические единицы, обслуживающие ситуации общения в рамках отобранного тематического содержания, с соблюдением существующей нормы лексической сочетаемости; употреблять в письменной речи изученные морфологические формы и синтаксические 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53.33</c:v>
                </c:pt>
                <c:pt idx="1">
                  <c:v>79</c:v>
                </c:pt>
                <c:pt idx="2">
                  <c:v>70</c:v>
                </c:pt>
                <c:pt idx="3">
                  <c:v>63</c:v>
                </c:pt>
                <c:pt idx="4">
                  <c:v>66.67</c:v>
                </c:pt>
                <c:pt idx="5">
                  <c:v>67.5</c:v>
                </c:pt>
                <c:pt idx="6">
                  <c:v>76</c:v>
                </c:pt>
                <c:pt idx="7">
                  <c:v>47.5</c:v>
                </c:pt>
                <c:pt idx="8">
                  <c:v>42.5</c:v>
                </c:pt>
                <c:pt idx="9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47-46F6-ADBA-A1C948131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25</cp:revision>
  <cp:lastPrinted>2022-10-24T07:47:00Z</cp:lastPrinted>
  <dcterms:created xsi:type="dcterms:W3CDTF">2021-08-12T11:04:00Z</dcterms:created>
  <dcterms:modified xsi:type="dcterms:W3CDTF">2025-07-23T06:17:00Z</dcterms:modified>
</cp:coreProperties>
</file>